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552F0FA4" w:rsidR="009B6F95" w:rsidRPr="00C803F3" w:rsidRDefault="00322993" w:rsidP="009B6F95">
          <w:pPr>
            <w:pStyle w:val="Title1"/>
          </w:pPr>
          <w:r>
            <w:t xml:space="preserve">Building Safety </w:t>
          </w:r>
          <w:r w:rsidR="006F5EDF">
            <w:t>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p w14:paraId="3487E502" w14:textId="69A2455E" w:rsidR="009B6F95" w:rsidRPr="00C803F3" w:rsidRDefault="0054278B" w:rsidP="00B84F31">
      <w:pPr>
        <w:ind w:left="0" w:firstLine="0"/>
      </w:pPr>
      <w:r>
        <w:t>Decision/discussion</w:t>
      </w: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5F7D9DC6" w:rsidR="00753484" w:rsidRDefault="00BC5AD3" w:rsidP="00753484">
      <w:pPr>
        <w:pStyle w:val="Title3"/>
        <w:ind w:left="0" w:firstLine="0"/>
      </w:pPr>
      <w:r>
        <w:t xml:space="preserve">This report </w:t>
      </w:r>
      <w:r w:rsidR="0054278B">
        <w:t>updates members</w:t>
      </w:r>
      <w:r w:rsidR="005B6380">
        <w:t xml:space="preserve"> </w:t>
      </w:r>
      <w:r w:rsidR="0054278B">
        <w:t>on the key developments around building safety work not covered in the previous paper</w:t>
      </w:r>
      <w:r w:rsidR="00753484">
        <w:t>.</w:t>
      </w:r>
    </w:p>
    <w:p w14:paraId="711A9C41" w14:textId="24E955F6" w:rsidR="00A06716" w:rsidRDefault="00A06716" w:rsidP="00753484">
      <w:pPr>
        <w:pStyle w:val="Title3"/>
        <w:ind w:left="0" w:firstLine="0"/>
      </w:pPr>
    </w:p>
    <w:p w14:paraId="26938B05" w14:textId="77777777" w:rsidR="00A06716" w:rsidRDefault="00A06716" w:rsidP="00753484">
      <w:pPr>
        <w:pStyle w:val="Title3"/>
        <w:ind w:left="0" w:firstLine="0"/>
      </w:pP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62A8BF07" w:rsidR="00B92D70" w:rsidRDefault="00B92D70" w:rsidP="00753484">
                            <w:pPr>
                              <w:pStyle w:val="Title3"/>
                              <w:ind w:left="0" w:firstLine="0"/>
                            </w:pPr>
                            <w:r w:rsidRPr="00B84F31">
                              <w:t>That</w:t>
                            </w:r>
                            <w:r>
                              <w:t xml:space="preserve"> members </w:t>
                            </w:r>
                            <w:r w:rsidR="0054278B">
                              <w:t xml:space="preserve">agree the proposal in paragraph 9 and comment on </w:t>
                            </w:r>
                            <w:r w:rsidR="005B6380">
                              <w:t xml:space="preserve">the work programme. </w:t>
                            </w:r>
                          </w:p>
                          <w:p w14:paraId="3487E56A" w14:textId="435A00A4" w:rsidR="00B92D70" w:rsidRPr="00A627DD" w:rsidRDefault="001D76A9"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w:t>
                                </w:r>
                              </w:sdtContent>
                            </w:sdt>
                          </w:p>
                          <w:p w14:paraId="3487E56B" w14:textId="7C135059" w:rsidR="00B92D70" w:rsidRPr="00B84F31" w:rsidRDefault="00B92D70" w:rsidP="00B84F31">
                            <w:pPr>
                              <w:pStyle w:val="Title3"/>
                              <w:ind w:left="0" w:firstLine="0"/>
                            </w:pPr>
                            <w:r>
                              <w:t xml:space="preserve">Officers to incorporate </w:t>
                            </w:r>
                            <w:r w:rsidR="00AE552A">
                              <w:t>members’</w:t>
                            </w:r>
                            <w:r>
                              <w:t xml:space="preserve"> views</w:t>
                            </w:r>
                            <w:r w:rsidR="005B6380">
                              <w:t xml:space="preserve"> in to the LGA’s building safety work going forward</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62A8BF07" w:rsidR="00B92D70" w:rsidRDefault="00B92D70" w:rsidP="00753484">
                      <w:pPr>
                        <w:pStyle w:val="Title3"/>
                        <w:ind w:left="0" w:firstLine="0"/>
                      </w:pPr>
                      <w:r w:rsidRPr="00B84F31">
                        <w:t>That</w:t>
                      </w:r>
                      <w:r>
                        <w:t xml:space="preserve"> members </w:t>
                      </w:r>
                      <w:r w:rsidR="0054278B">
                        <w:t xml:space="preserve">agree the proposal in paragraph 9 and comment on </w:t>
                      </w:r>
                      <w:r w:rsidR="005B6380">
                        <w:t xml:space="preserve">the work programme. </w:t>
                      </w:r>
                    </w:p>
                    <w:p w14:paraId="3487E56A" w14:textId="435A00A4" w:rsidR="00B92D70" w:rsidRPr="00A627DD" w:rsidRDefault="001D76A9"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w:t>
                          </w:r>
                        </w:sdtContent>
                      </w:sdt>
                    </w:p>
                    <w:p w14:paraId="3487E56B" w14:textId="7C135059" w:rsidR="00B92D70" w:rsidRPr="00B84F31" w:rsidRDefault="00B92D70" w:rsidP="00B84F31">
                      <w:pPr>
                        <w:pStyle w:val="Title3"/>
                        <w:ind w:left="0" w:firstLine="0"/>
                      </w:pPr>
                      <w:r>
                        <w:t xml:space="preserve">Officers to incorporate </w:t>
                      </w:r>
                      <w:r w:rsidR="00AE552A">
                        <w:t>members’</w:t>
                      </w:r>
                      <w:r>
                        <w:t xml:space="preserve"> views</w:t>
                      </w:r>
                      <w:r w:rsidR="005B6380">
                        <w:t xml:space="preserve"> in to the LGA’s building safety work going forward</w:t>
                      </w:r>
                      <w:r>
                        <w:t xml:space="preserve">. </w:t>
                      </w:r>
                    </w:p>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1D76A9"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1D76A9"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1D76A9"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1D76A9"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58FDBA02" w14:textId="77777777" w:rsidR="001D76A9" w:rsidRDefault="001D76A9" w:rsidP="000F69FB">
      <w:pPr>
        <w:pStyle w:val="Title1"/>
      </w:pPr>
    </w:p>
    <w:p w14:paraId="500B1B51" w14:textId="6ED769AB" w:rsidR="0054278B" w:rsidRDefault="005C36E1" w:rsidP="000F69FB">
      <w:pPr>
        <w:pStyle w:val="Title1"/>
      </w:pPr>
      <w:r>
        <w:lastRenderedPageBreak/>
        <w:t>Key updates</w:t>
      </w:r>
    </w:p>
    <w:p w14:paraId="5523E55D" w14:textId="77777777" w:rsidR="0054278B" w:rsidRPr="000E6687" w:rsidRDefault="0054278B" w:rsidP="0054278B">
      <w:pPr>
        <w:rPr>
          <w:rStyle w:val="normaltextrun"/>
          <w:rFonts w:cs="Arial"/>
          <w:b/>
          <w:bCs/>
        </w:rPr>
      </w:pPr>
      <w:r w:rsidRPr="000E6687">
        <w:rPr>
          <w:rStyle w:val="normaltextrun"/>
          <w:rFonts w:cs="Arial"/>
          <w:b/>
          <w:bCs/>
        </w:rPr>
        <w:t>Remediation</w:t>
      </w:r>
    </w:p>
    <w:p w14:paraId="5D23130D" w14:textId="77777777" w:rsidR="0054278B" w:rsidRPr="0054278B" w:rsidRDefault="0054278B" w:rsidP="0054278B">
      <w:pPr>
        <w:rPr>
          <w:rStyle w:val="normaltextrun"/>
          <w:rFonts w:cs="Arial"/>
          <w:u w:val="single"/>
        </w:rPr>
      </w:pPr>
      <w:r w:rsidRPr="0054278B">
        <w:rPr>
          <w:rStyle w:val="normaltextrun"/>
          <w:rFonts w:cs="Arial"/>
          <w:u w:val="single"/>
        </w:rPr>
        <w:t>Progress</w:t>
      </w:r>
    </w:p>
    <w:p w14:paraId="259EB3A3" w14:textId="341B10F2" w:rsidR="0054278B" w:rsidRPr="007F46B4" w:rsidRDefault="001D76A9" w:rsidP="00E5750D">
      <w:pPr>
        <w:pStyle w:val="ListParagraph"/>
        <w:numPr>
          <w:ilvl w:val="0"/>
          <w:numId w:val="3"/>
        </w:numPr>
        <w:rPr>
          <w:rFonts w:cs="Arial"/>
        </w:rPr>
      </w:pPr>
      <w:hyperlink r:id="rId11" w:history="1">
        <w:r w:rsidR="0054278B" w:rsidRPr="00D37091">
          <w:rPr>
            <w:rStyle w:val="Hyperlink"/>
            <w:rFonts w:cs="Arial"/>
          </w:rPr>
          <w:t>MHCLG statistics</w:t>
        </w:r>
      </w:hyperlink>
      <w:r w:rsidR="0054278B" w:rsidRPr="001A4A4E">
        <w:rPr>
          <w:rFonts w:cs="Arial"/>
        </w:rPr>
        <w:t xml:space="preserve"> show that by</w:t>
      </w:r>
      <w:r w:rsidR="0054278B">
        <w:t xml:space="preserve"> the end of </w:t>
      </w:r>
      <w:r w:rsidR="000E0F80">
        <w:t xml:space="preserve">September </w:t>
      </w:r>
      <w:r w:rsidR="0054278B">
        <w:t xml:space="preserve">2021, </w:t>
      </w:r>
      <w:r w:rsidR="000E0F80">
        <w:t>94% (445) of all identified high-rise residential and publicly owned buildings in England had either completed or started remediation work to remove and replace unsafe Aluminium Composite Material (ACM) cladding (97% of buildings identified at 31 December 2019)</w:t>
      </w:r>
      <w:r w:rsidR="0054278B">
        <w:t>. 18 new buildings have been identified in 2021.</w:t>
      </w:r>
    </w:p>
    <w:p w14:paraId="545E4CDB" w14:textId="77777777" w:rsidR="0054278B" w:rsidRPr="007F46B4" w:rsidRDefault="0054278B" w:rsidP="0054278B">
      <w:pPr>
        <w:pStyle w:val="ListParagraph"/>
        <w:numPr>
          <w:ilvl w:val="0"/>
          <w:numId w:val="0"/>
        </w:numPr>
        <w:ind w:left="360"/>
        <w:rPr>
          <w:rFonts w:cs="Arial"/>
        </w:rPr>
      </w:pPr>
    </w:p>
    <w:p w14:paraId="40B742D4" w14:textId="4CBF0312" w:rsidR="0054278B" w:rsidRPr="00D37091" w:rsidRDefault="0054278B" w:rsidP="00E5750D">
      <w:pPr>
        <w:pStyle w:val="ListParagraph"/>
        <w:numPr>
          <w:ilvl w:val="0"/>
          <w:numId w:val="3"/>
        </w:numPr>
        <w:rPr>
          <w:rFonts w:cs="Arial"/>
        </w:rPr>
      </w:pPr>
      <w:r>
        <w:t xml:space="preserve">Progress remains slow. </w:t>
      </w:r>
      <w:r w:rsidR="000E0F80">
        <w:t>Four buildings completed work in September, o</w:t>
      </w:r>
      <w:r>
        <w:t>nly one building completed work in July and only one in August.</w:t>
      </w:r>
    </w:p>
    <w:p w14:paraId="518B8D9D" w14:textId="77777777" w:rsidR="0054278B" w:rsidRPr="00D37091" w:rsidRDefault="0054278B" w:rsidP="0054278B">
      <w:pPr>
        <w:pStyle w:val="ListParagraph"/>
        <w:numPr>
          <w:ilvl w:val="0"/>
          <w:numId w:val="0"/>
        </w:numPr>
        <w:ind w:left="360"/>
        <w:rPr>
          <w:rFonts w:cs="Arial"/>
        </w:rPr>
      </w:pPr>
    </w:p>
    <w:p w14:paraId="71C4AEA0" w14:textId="22A6A26F" w:rsidR="0054278B" w:rsidRPr="00892A72" w:rsidRDefault="00996F96" w:rsidP="00E5750D">
      <w:pPr>
        <w:pStyle w:val="ListParagraph"/>
        <w:numPr>
          <w:ilvl w:val="0"/>
          <w:numId w:val="3"/>
        </w:numPr>
        <w:rPr>
          <w:rFonts w:cs="Arial"/>
        </w:rPr>
      </w:pPr>
      <w:r>
        <w:rPr>
          <w:rFonts w:cs="Arial"/>
        </w:rPr>
        <w:t>A</w:t>
      </w:r>
      <w:r w:rsidR="000E0F80">
        <w:rPr>
          <w:rFonts w:cs="Arial"/>
        </w:rPr>
        <w:t>ll</w:t>
      </w:r>
      <w:r w:rsidR="0054278B">
        <w:rPr>
          <w:rFonts w:cs="Arial"/>
        </w:rPr>
        <w:t xml:space="preserve"> </w:t>
      </w:r>
      <w:r w:rsidR="0054278B" w:rsidRPr="001A4A4E">
        <w:rPr>
          <w:rFonts w:cs="Arial"/>
        </w:rPr>
        <w:t>so</w:t>
      </w:r>
      <w:r w:rsidR="0054278B">
        <w:t xml:space="preserve">cial sector residential buildings have </w:t>
      </w:r>
      <w:r w:rsidR="000E0F80">
        <w:t xml:space="preserve">begun </w:t>
      </w:r>
      <w:r w:rsidR="0054278B">
        <w:t xml:space="preserve">remediation; </w:t>
      </w:r>
      <w:r w:rsidR="000E0F80">
        <w:t>including three recently identified</w:t>
      </w:r>
      <w:r w:rsidR="0054278B">
        <w:t>.</w:t>
      </w:r>
    </w:p>
    <w:p w14:paraId="216C343A" w14:textId="77777777" w:rsidR="0054278B" w:rsidRPr="00892A72" w:rsidRDefault="0054278B" w:rsidP="0054278B">
      <w:pPr>
        <w:pStyle w:val="ListParagraph"/>
        <w:numPr>
          <w:ilvl w:val="0"/>
          <w:numId w:val="0"/>
        </w:numPr>
        <w:ind w:left="360"/>
        <w:rPr>
          <w:rFonts w:cs="Arial"/>
        </w:rPr>
      </w:pPr>
    </w:p>
    <w:p w14:paraId="4F1C5189" w14:textId="6B7593E3" w:rsidR="0054278B" w:rsidRDefault="0054278B" w:rsidP="00E5750D">
      <w:pPr>
        <w:pStyle w:val="ListParagraph"/>
        <w:numPr>
          <w:ilvl w:val="0"/>
          <w:numId w:val="3"/>
        </w:numPr>
        <w:rPr>
          <w:rFonts w:cs="Arial"/>
        </w:rPr>
      </w:pPr>
      <w:r>
        <w:rPr>
          <w:rFonts w:cs="Arial"/>
        </w:rPr>
        <w:t xml:space="preserve">The Building Safety Fund was set up last year to pay for the remediation of non-ACM cladding on private buildings. </w:t>
      </w:r>
      <w:hyperlink r:id="rId12" w:history="1">
        <w:r w:rsidRPr="00892A72">
          <w:rPr>
            <w:rStyle w:val="Hyperlink"/>
            <w:rFonts w:cs="Arial"/>
          </w:rPr>
          <w:t>Statistics to the end of September</w:t>
        </w:r>
      </w:hyperlink>
      <w:r>
        <w:rPr>
          <w:rFonts w:cs="Arial"/>
        </w:rPr>
        <w:t xml:space="preserve"> show that 2</w:t>
      </w:r>
      <w:r w:rsidR="00996F96">
        <w:rPr>
          <w:rFonts w:cs="Arial"/>
        </w:rPr>
        <w:t>,</w:t>
      </w:r>
      <w:r>
        <w:rPr>
          <w:rFonts w:cs="Arial"/>
        </w:rPr>
        <w:t>820 owners have registered, covering 3</w:t>
      </w:r>
      <w:r w:rsidR="00996F96">
        <w:rPr>
          <w:rFonts w:cs="Arial"/>
        </w:rPr>
        <w:t>,</w:t>
      </w:r>
      <w:r>
        <w:rPr>
          <w:rFonts w:cs="Arial"/>
        </w:rPr>
        <w:t>175 buildings.</w:t>
      </w:r>
    </w:p>
    <w:p w14:paraId="0C70E504" w14:textId="77777777" w:rsidR="0054278B" w:rsidRPr="00892A72" w:rsidRDefault="0054278B" w:rsidP="0054278B">
      <w:pPr>
        <w:pStyle w:val="ListParagraph"/>
        <w:numPr>
          <w:ilvl w:val="0"/>
          <w:numId w:val="0"/>
        </w:numPr>
        <w:ind w:left="360"/>
        <w:rPr>
          <w:rFonts w:cs="Arial"/>
        </w:rPr>
      </w:pPr>
    </w:p>
    <w:p w14:paraId="620E81AC" w14:textId="79C2DB09" w:rsidR="0054278B" w:rsidRDefault="0054278B" w:rsidP="00E5750D">
      <w:pPr>
        <w:pStyle w:val="ListParagraph"/>
        <w:numPr>
          <w:ilvl w:val="0"/>
          <w:numId w:val="3"/>
        </w:numPr>
        <w:rPr>
          <w:rFonts w:cs="Arial"/>
        </w:rPr>
      </w:pPr>
      <w:r w:rsidRPr="00892A72">
        <w:rPr>
          <w:rFonts w:cs="Arial"/>
        </w:rPr>
        <w:t xml:space="preserve">The registration process is a form of pre-approval. </w:t>
      </w:r>
      <w:r>
        <w:rPr>
          <w:rFonts w:cs="Arial"/>
        </w:rPr>
        <w:t>Of the</w:t>
      </w:r>
      <w:r w:rsidRPr="00892A72">
        <w:rPr>
          <w:rFonts w:cs="Arial"/>
        </w:rPr>
        <w:t xml:space="preserve"> 2</w:t>
      </w:r>
      <w:r w:rsidR="00996F96">
        <w:rPr>
          <w:rFonts w:cs="Arial"/>
        </w:rPr>
        <w:t>,</w:t>
      </w:r>
      <w:r w:rsidRPr="00892A72">
        <w:rPr>
          <w:rFonts w:cs="Arial"/>
        </w:rPr>
        <w:t>820 registrations 2</w:t>
      </w:r>
      <w:r w:rsidR="00996F96">
        <w:rPr>
          <w:rFonts w:cs="Arial"/>
        </w:rPr>
        <w:t>,</w:t>
      </w:r>
      <w:r w:rsidRPr="00892A72">
        <w:rPr>
          <w:rFonts w:cs="Arial"/>
        </w:rPr>
        <w:t>348</w:t>
      </w:r>
      <w:r>
        <w:rPr>
          <w:rFonts w:cs="Arial"/>
        </w:rPr>
        <w:t xml:space="preserve"> </w:t>
      </w:r>
      <w:r w:rsidRPr="00892A72">
        <w:rPr>
          <w:rFonts w:cs="Arial"/>
        </w:rPr>
        <w:t>had been reviewed</w:t>
      </w:r>
      <w:r>
        <w:rPr>
          <w:rFonts w:cs="Arial"/>
        </w:rPr>
        <w:t xml:space="preserve">. Of these, </w:t>
      </w:r>
      <w:r w:rsidRPr="00892A72">
        <w:rPr>
          <w:rFonts w:cs="Arial"/>
        </w:rPr>
        <w:t>689 were proceeding to an application for funding</w:t>
      </w:r>
      <w:r>
        <w:rPr>
          <w:rFonts w:cs="Arial"/>
        </w:rPr>
        <w:t xml:space="preserve"> (covering an estimated 65,000 homes)</w:t>
      </w:r>
      <w:r w:rsidRPr="00892A72">
        <w:rPr>
          <w:rFonts w:cs="Arial"/>
        </w:rPr>
        <w:t>, with a further 373 being reviewed and 183 where the applicant needs to provide additional information. 477 have been deemed ineligible</w:t>
      </w:r>
      <w:r>
        <w:rPr>
          <w:rFonts w:cs="Arial"/>
        </w:rPr>
        <w:t>, in 472 cases the owner has not responded to requests for more information</w:t>
      </w:r>
      <w:r w:rsidRPr="00892A72">
        <w:rPr>
          <w:rFonts w:cs="Arial"/>
        </w:rPr>
        <w:t xml:space="preserve"> and 626 </w:t>
      </w:r>
      <w:r>
        <w:rPr>
          <w:rFonts w:cs="Arial"/>
        </w:rPr>
        <w:t xml:space="preserve">have been </w:t>
      </w:r>
      <w:r w:rsidRPr="00892A72">
        <w:rPr>
          <w:rFonts w:cs="Arial"/>
        </w:rPr>
        <w:t>withdrawn.</w:t>
      </w:r>
      <w:r>
        <w:rPr>
          <w:rFonts w:cs="Arial"/>
        </w:rPr>
        <w:t xml:space="preserve"> 165 full applications have been approved and 318 are at </w:t>
      </w:r>
      <w:r w:rsidR="00996F96">
        <w:rPr>
          <w:rFonts w:cs="Arial"/>
        </w:rPr>
        <w:t>p</w:t>
      </w:r>
      <w:r>
        <w:rPr>
          <w:rFonts w:cs="Arial"/>
        </w:rPr>
        <w:t>re-tender stage.</w:t>
      </w:r>
    </w:p>
    <w:p w14:paraId="61919EAA" w14:textId="77777777" w:rsidR="0054278B" w:rsidRPr="002B2418" w:rsidRDefault="0054278B" w:rsidP="0054278B">
      <w:pPr>
        <w:pStyle w:val="ListParagraph"/>
        <w:numPr>
          <w:ilvl w:val="0"/>
          <w:numId w:val="0"/>
        </w:numPr>
        <w:ind w:left="360"/>
        <w:rPr>
          <w:rFonts w:cs="Arial"/>
        </w:rPr>
      </w:pPr>
    </w:p>
    <w:p w14:paraId="2A80D147" w14:textId="234678DE" w:rsidR="0054278B" w:rsidRDefault="0054278B" w:rsidP="00E5750D">
      <w:pPr>
        <w:pStyle w:val="ListParagraph"/>
        <w:numPr>
          <w:ilvl w:val="0"/>
          <w:numId w:val="3"/>
        </w:numPr>
        <w:rPr>
          <w:rFonts w:cs="Arial"/>
        </w:rPr>
      </w:pPr>
      <w:r w:rsidRPr="00892A72">
        <w:rPr>
          <w:rFonts w:cs="Arial"/>
        </w:rPr>
        <w:t>Progress is slow. Only 9 registrations were reviewed in September</w:t>
      </w:r>
      <w:r>
        <w:rPr>
          <w:rFonts w:cs="Arial"/>
        </w:rPr>
        <w:t xml:space="preserve"> and only £172</w:t>
      </w:r>
      <w:r w:rsidR="00996F96">
        <w:rPr>
          <w:rFonts w:cs="Arial"/>
        </w:rPr>
        <w:t xml:space="preserve"> </w:t>
      </w:r>
      <w:r>
        <w:rPr>
          <w:rFonts w:cs="Arial"/>
        </w:rPr>
        <w:t>m</w:t>
      </w:r>
      <w:r w:rsidR="00996F96">
        <w:rPr>
          <w:rFonts w:cs="Arial"/>
        </w:rPr>
        <w:t>illion</w:t>
      </w:r>
      <w:r>
        <w:rPr>
          <w:rFonts w:cs="Arial"/>
        </w:rPr>
        <w:t xml:space="preserve"> has been spent to date, with £637.5</w:t>
      </w:r>
      <w:r w:rsidR="00996F96">
        <w:rPr>
          <w:rFonts w:cs="Arial"/>
        </w:rPr>
        <w:t xml:space="preserve"> </w:t>
      </w:r>
      <w:r>
        <w:rPr>
          <w:rFonts w:cs="Arial"/>
        </w:rPr>
        <w:t>m</w:t>
      </w:r>
      <w:r w:rsidR="00996F96">
        <w:rPr>
          <w:rFonts w:cs="Arial"/>
        </w:rPr>
        <w:t>illion</w:t>
      </w:r>
      <w:r>
        <w:rPr>
          <w:rFonts w:cs="Arial"/>
        </w:rPr>
        <w:t xml:space="preserve"> allocated. It is also not smooth. </w:t>
      </w:r>
      <w:hyperlink r:id="rId13" w:history="1">
        <w:r w:rsidRPr="00457F55">
          <w:rPr>
            <w:rStyle w:val="Hyperlink"/>
            <w:rFonts w:cs="Arial"/>
          </w:rPr>
          <w:t>Inside housing reports</w:t>
        </w:r>
      </w:hyperlink>
      <w:r>
        <w:rPr>
          <w:rFonts w:cs="Arial"/>
        </w:rPr>
        <w:t xml:space="preserve"> that one block that was granted funding has subsequently had it removed. In </w:t>
      </w:r>
      <w:hyperlink r:id="rId14" w:history="1">
        <w:r w:rsidRPr="00457F55">
          <w:rPr>
            <w:rStyle w:val="Hyperlink"/>
            <w:rFonts w:cs="Arial"/>
          </w:rPr>
          <w:t>anoth</w:t>
        </w:r>
        <w:r>
          <w:rPr>
            <w:rStyle w:val="Hyperlink"/>
            <w:rFonts w:cs="Arial"/>
          </w:rPr>
          <w:t>er case</w:t>
        </w:r>
      </w:hyperlink>
      <w:r>
        <w:rPr>
          <w:rFonts w:cs="Arial"/>
        </w:rPr>
        <w:t xml:space="preserve"> earlier this year the height of a building appears to have changed to leave it eligible for funding. </w:t>
      </w:r>
    </w:p>
    <w:p w14:paraId="2AE94B63" w14:textId="77777777" w:rsidR="0054278B" w:rsidRPr="00892A72" w:rsidRDefault="0054278B" w:rsidP="0054278B">
      <w:pPr>
        <w:pStyle w:val="ListParagraph"/>
        <w:numPr>
          <w:ilvl w:val="0"/>
          <w:numId w:val="0"/>
        </w:numPr>
        <w:ind w:left="360"/>
        <w:rPr>
          <w:rStyle w:val="normaltextrun"/>
          <w:rFonts w:cs="Arial"/>
        </w:rPr>
      </w:pPr>
    </w:p>
    <w:p w14:paraId="52FDF074" w14:textId="77777777" w:rsidR="0054278B" w:rsidRDefault="0054278B" w:rsidP="00E5750D">
      <w:pPr>
        <w:pStyle w:val="ListParagraph"/>
        <w:numPr>
          <w:ilvl w:val="0"/>
          <w:numId w:val="3"/>
        </w:numPr>
        <w:rPr>
          <w:rStyle w:val="normaltextrun"/>
          <w:rFonts w:cs="Arial"/>
        </w:rPr>
      </w:pPr>
      <w:r>
        <w:rPr>
          <w:rStyle w:val="normaltextrun"/>
          <w:rFonts w:cs="Arial"/>
        </w:rPr>
        <w:t>The fund also covers the costs that social providers would otherwise pass on the leaseholders. 222 applications have been made. So far 28 have been rejected, 8 withdrawn and 49 approved. The rest are still under consideration.</w:t>
      </w:r>
    </w:p>
    <w:p w14:paraId="72FE63A9" w14:textId="77777777" w:rsidR="0054278B" w:rsidRPr="0054278B" w:rsidRDefault="0054278B" w:rsidP="0054278B">
      <w:pPr>
        <w:ind w:left="0" w:firstLine="0"/>
        <w:rPr>
          <w:rStyle w:val="normaltextrun"/>
          <w:rFonts w:cs="Arial"/>
          <w:u w:val="single"/>
        </w:rPr>
      </w:pPr>
      <w:r w:rsidRPr="0054278B">
        <w:rPr>
          <w:rStyle w:val="normaltextrun"/>
          <w:rFonts w:cs="Arial"/>
          <w:u w:val="single"/>
        </w:rPr>
        <w:t>Inspection and enforcement</w:t>
      </w:r>
    </w:p>
    <w:p w14:paraId="24423C36" w14:textId="73FA28C4" w:rsidR="0054278B" w:rsidRDefault="0054278B" w:rsidP="00E5750D">
      <w:pPr>
        <w:pStyle w:val="ListParagraph"/>
        <w:numPr>
          <w:ilvl w:val="0"/>
          <w:numId w:val="3"/>
        </w:numPr>
        <w:rPr>
          <w:rStyle w:val="normaltextrun"/>
          <w:rFonts w:cs="Arial"/>
        </w:rPr>
      </w:pPr>
      <w:r>
        <w:rPr>
          <w:rStyle w:val="normaltextrun"/>
          <w:rFonts w:cs="Arial"/>
        </w:rPr>
        <w:t>The LGA has been asked to host a document drawn up by sector experts led by the LGA and N</w:t>
      </w:r>
      <w:r w:rsidR="00996F96">
        <w:rPr>
          <w:rStyle w:val="normaltextrun"/>
          <w:rFonts w:cs="Arial"/>
        </w:rPr>
        <w:t xml:space="preserve">ational </w:t>
      </w:r>
      <w:r>
        <w:rPr>
          <w:rStyle w:val="normaltextrun"/>
          <w:rFonts w:cs="Arial"/>
        </w:rPr>
        <w:t>F</w:t>
      </w:r>
      <w:r w:rsidR="00996F96">
        <w:rPr>
          <w:rStyle w:val="normaltextrun"/>
          <w:rFonts w:cs="Arial"/>
        </w:rPr>
        <w:t xml:space="preserve">ire </w:t>
      </w:r>
      <w:r>
        <w:rPr>
          <w:rStyle w:val="normaltextrun"/>
          <w:rFonts w:cs="Arial"/>
        </w:rPr>
        <w:t>C</w:t>
      </w:r>
      <w:r w:rsidR="00996F96">
        <w:rPr>
          <w:rStyle w:val="normaltextrun"/>
          <w:rFonts w:cs="Arial"/>
        </w:rPr>
        <w:t xml:space="preserve">hiefs </w:t>
      </w:r>
      <w:r>
        <w:rPr>
          <w:rStyle w:val="normaltextrun"/>
          <w:rFonts w:cs="Arial"/>
        </w:rPr>
        <w:t>C</w:t>
      </w:r>
      <w:r w:rsidR="00996F96">
        <w:rPr>
          <w:rStyle w:val="normaltextrun"/>
          <w:rFonts w:cs="Arial"/>
        </w:rPr>
        <w:t>ouncil (NFCC)</w:t>
      </w:r>
      <w:r>
        <w:rPr>
          <w:rStyle w:val="normaltextrun"/>
          <w:rFonts w:cs="Arial"/>
        </w:rPr>
        <w:t xml:space="preserve"> on how council private sector housing enforcement and the fire service can work together to inspect and enforce in relation to dangerous cladding. This is important work given that the H</w:t>
      </w:r>
      <w:r w:rsidR="00996F96">
        <w:rPr>
          <w:rStyle w:val="normaltextrun"/>
          <w:rFonts w:cs="Arial"/>
        </w:rPr>
        <w:t xml:space="preserve">ealth and </w:t>
      </w:r>
      <w:r>
        <w:rPr>
          <w:rStyle w:val="normaltextrun"/>
          <w:rFonts w:cs="Arial"/>
        </w:rPr>
        <w:t>S</w:t>
      </w:r>
      <w:r w:rsidR="00996F96">
        <w:rPr>
          <w:rStyle w:val="normaltextrun"/>
          <w:rFonts w:cs="Arial"/>
        </w:rPr>
        <w:t xml:space="preserve">afety </w:t>
      </w:r>
      <w:r>
        <w:rPr>
          <w:rStyle w:val="normaltextrun"/>
          <w:rFonts w:cs="Arial"/>
        </w:rPr>
        <w:t>E</w:t>
      </w:r>
      <w:r w:rsidR="00996F96">
        <w:rPr>
          <w:rStyle w:val="normaltextrun"/>
          <w:rFonts w:cs="Arial"/>
        </w:rPr>
        <w:t xml:space="preserve">xecutive </w:t>
      </w:r>
      <w:r w:rsidR="00996F96">
        <w:rPr>
          <w:rStyle w:val="normaltextrun"/>
          <w:rFonts w:cs="Arial"/>
        </w:rPr>
        <w:lastRenderedPageBreak/>
        <w:t>(HSE)</w:t>
      </w:r>
      <w:r>
        <w:rPr>
          <w:rStyle w:val="normaltextrun"/>
          <w:rFonts w:cs="Arial"/>
        </w:rPr>
        <w:t xml:space="preserve"> will not begin considering safety cases</w:t>
      </w:r>
      <w:r w:rsidR="00996F96">
        <w:rPr>
          <w:rStyle w:val="normaltextrun"/>
          <w:rFonts w:cs="Arial"/>
        </w:rPr>
        <w:t xml:space="preserve"> </w:t>
      </w:r>
      <w:r>
        <w:rPr>
          <w:rStyle w:val="normaltextrun"/>
          <w:rFonts w:cs="Arial"/>
        </w:rPr>
        <w:t>in existing buildings until April 2024 at the earliest and will take at least five years to complete the process.</w:t>
      </w:r>
    </w:p>
    <w:p w14:paraId="1C0CBA29" w14:textId="77777777" w:rsidR="0054278B" w:rsidRPr="002B2418" w:rsidRDefault="0054278B" w:rsidP="0054278B">
      <w:pPr>
        <w:pStyle w:val="ListParagraph"/>
        <w:numPr>
          <w:ilvl w:val="0"/>
          <w:numId w:val="0"/>
        </w:numPr>
        <w:ind w:left="360"/>
        <w:rPr>
          <w:rStyle w:val="normaltextrun"/>
          <w:rFonts w:cs="Arial"/>
        </w:rPr>
      </w:pPr>
    </w:p>
    <w:p w14:paraId="2F4E88DE" w14:textId="29906282" w:rsidR="0054278B" w:rsidRPr="000E0F80" w:rsidRDefault="0054278B" w:rsidP="000E0F80">
      <w:pPr>
        <w:pStyle w:val="ListParagraph"/>
        <w:numPr>
          <w:ilvl w:val="0"/>
          <w:numId w:val="3"/>
        </w:numPr>
        <w:rPr>
          <w:rStyle w:val="normaltextrun"/>
          <w:rFonts w:cs="Arial"/>
        </w:rPr>
      </w:pPr>
      <w:r>
        <w:rPr>
          <w:rStyle w:val="normaltextrun"/>
          <w:rFonts w:cs="Arial"/>
        </w:rPr>
        <w:t xml:space="preserve">The document offers non-statutory advice for </w:t>
      </w:r>
      <w:r w:rsidRPr="000E0F80">
        <w:rPr>
          <w:rStyle w:val="normaltextrun"/>
          <w:rFonts w:cs="Arial"/>
        </w:rPr>
        <w:t xml:space="preserve">our members on effective joint working. It does not offer advice to residents or duty holders. </w:t>
      </w:r>
      <w:r w:rsidR="000E0F80" w:rsidRPr="000E0F80">
        <w:rPr>
          <w:rStyle w:val="normaltextrun"/>
          <w:rFonts w:cs="Arial"/>
        </w:rPr>
        <w:t>The Grenfell Task and finish Group has agreed that the LGA should host this document subject to legal advice.</w:t>
      </w:r>
      <w:r w:rsidRPr="000E0F80">
        <w:rPr>
          <w:rStyle w:val="normaltextrun"/>
          <w:rFonts w:cs="Arial"/>
        </w:rPr>
        <w:t xml:space="preserve"> </w:t>
      </w:r>
    </w:p>
    <w:p w14:paraId="72E57B8C" w14:textId="77777777" w:rsidR="0054278B" w:rsidRPr="002B2418" w:rsidRDefault="0054278B" w:rsidP="0054278B">
      <w:pPr>
        <w:pStyle w:val="ListParagraph"/>
        <w:numPr>
          <w:ilvl w:val="0"/>
          <w:numId w:val="0"/>
        </w:numPr>
        <w:ind w:left="360"/>
        <w:rPr>
          <w:rStyle w:val="normaltextrun"/>
          <w:rFonts w:cs="Arial"/>
        </w:rPr>
      </w:pPr>
    </w:p>
    <w:p w14:paraId="5D5E24A1" w14:textId="5EFAE575" w:rsidR="000E0F80" w:rsidRDefault="0054278B" w:rsidP="000E0F80">
      <w:pPr>
        <w:pStyle w:val="ListParagraph"/>
        <w:numPr>
          <w:ilvl w:val="0"/>
          <w:numId w:val="3"/>
        </w:numPr>
        <w:rPr>
          <w:rStyle w:val="normaltextrun"/>
          <w:rFonts w:cs="Arial"/>
        </w:rPr>
      </w:pPr>
      <w:r>
        <w:rPr>
          <w:rStyle w:val="normaltextrun"/>
          <w:rFonts w:cs="Arial"/>
        </w:rPr>
        <w:t>The LGA has funding to commission case studies in relation to this joint working</w:t>
      </w:r>
      <w:r w:rsidR="00996F96">
        <w:rPr>
          <w:rStyle w:val="normaltextrun"/>
          <w:rFonts w:cs="Arial"/>
        </w:rPr>
        <w:t>.</w:t>
      </w:r>
    </w:p>
    <w:p w14:paraId="7FB0240E" w14:textId="0C75E5BA" w:rsidR="000E0F80" w:rsidRPr="000E0F80" w:rsidRDefault="000E0F80" w:rsidP="000E0F80">
      <w:pPr>
        <w:ind w:left="0" w:firstLine="0"/>
        <w:rPr>
          <w:u w:val="single"/>
        </w:rPr>
      </w:pPr>
      <w:r w:rsidRPr="000E0F80">
        <w:rPr>
          <w:u w:val="single"/>
        </w:rPr>
        <w:t>Recent decant</w:t>
      </w:r>
    </w:p>
    <w:p w14:paraId="01D10BCE" w14:textId="496B7117" w:rsidR="000E0F80" w:rsidRPr="000E0F80" w:rsidRDefault="00DB2108" w:rsidP="000E0F80">
      <w:pPr>
        <w:pStyle w:val="ListParagraph"/>
        <w:numPr>
          <w:ilvl w:val="0"/>
          <w:numId w:val="3"/>
        </w:numPr>
        <w:rPr>
          <w:rFonts w:cs="Arial"/>
        </w:rPr>
      </w:pPr>
      <w:r>
        <w:t xml:space="preserve"> </w:t>
      </w:r>
      <w:r w:rsidR="0054278B">
        <w:t xml:space="preserve">The recent decanting of a large panel system </w:t>
      </w:r>
      <w:r w:rsidR="00996F96">
        <w:t xml:space="preserve">(LPS) </w:t>
      </w:r>
      <w:r w:rsidR="0054278B">
        <w:t>block in Bow</w:t>
      </w:r>
      <w:r w:rsidR="000E0F80">
        <w:t xml:space="preserve"> (</w:t>
      </w:r>
      <w:r w:rsidR="0054278B">
        <w:t>Clare House</w:t>
      </w:r>
      <w:r w:rsidR="000E0F80">
        <w:t>)</w:t>
      </w:r>
      <w:r w:rsidR="0054278B">
        <w:t xml:space="preserve"> raise</w:t>
      </w:r>
      <w:r w:rsidR="000E0F80">
        <w:t>s</w:t>
      </w:r>
      <w:r w:rsidR="0054278B">
        <w:t xml:space="preserve"> issues about</w:t>
      </w:r>
      <w:r w:rsidR="000E0F80">
        <w:t xml:space="preserve"> whether more needs to be done to raise awareness of potential issues with LPS blocks and how best to manage decants and their impact on local authorities who have to rehouse those forced to leave their homes.</w:t>
      </w:r>
    </w:p>
    <w:p w14:paraId="66BFF3EB" w14:textId="77777777" w:rsidR="000E0F80" w:rsidRPr="000E0F80" w:rsidRDefault="000E0F80" w:rsidP="000E0F80">
      <w:pPr>
        <w:pStyle w:val="ListParagraph"/>
        <w:numPr>
          <w:ilvl w:val="0"/>
          <w:numId w:val="0"/>
        </w:numPr>
        <w:ind w:left="360"/>
        <w:rPr>
          <w:rFonts w:cs="Arial"/>
        </w:rPr>
      </w:pPr>
    </w:p>
    <w:p w14:paraId="100FAE7F" w14:textId="03C8CE22" w:rsidR="000E0F80" w:rsidRPr="000E0F80" w:rsidRDefault="000E0F80" w:rsidP="000E0F80">
      <w:pPr>
        <w:pStyle w:val="ListParagraph"/>
        <w:numPr>
          <w:ilvl w:val="0"/>
          <w:numId w:val="3"/>
        </w:numPr>
        <w:rPr>
          <w:rFonts w:cs="Arial"/>
        </w:rPr>
      </w:pPr>
      <w:r>
        <w:t xml:space="preserve">In response the LGA has written to councils to remind them of the need to ensure that the structural history of any large panel system buildings is known, and that their condition and continued structural integrity are understood and monitored. </w:t>
      </w:r>
    </w:p>
    <w:p w14:paraId="2836CC1C" w14:textId="5604B253" w:rsidR="003A1667" w:rsidRDefault="003A1667" w:rsidP="00676B3F">
      <w:pPr>
        <w:pStyle w:val="xmsonormal"/>
        <w:ind w:left="720"/>
        <w:rPr>
          <w:rFonts w:ascii="Arial" w:hAnsi="Arial" w:cs="Arial"/>
        </w:rPr>
      </w:pPr>
    </w:p>
    <w:sdt>
      <w:sdtPr>
        <w:rPr>
          <w:rStyle w:val="Style6"/>
        </w:rPr>
        <w:alias w:val="Issues"/>
        <w:tag w:val="Issues"/>
        <w:id w:val="-1684430981"/>
        <w:placeholder>
          <w:docPart w:val="602357B17E8043739AD27C3284A47032"/>
        </w:placeholder>
      </w:sdtPr>
      <w:sdtEndPr>
        <w:rPr>
          <w:rStyle w:val="Style6"/>
        </w:rPr>
      </w:sdtEndPr>
      <w:sdtContent>
        <w:p w14:paraId="3487E51E" w14:textId="7908B912" w:rsidR="009B6F95" w:rsidRPr="00C803F3" w:rsidRDefault="005C36E1" w:rsidP="000F69FB">
          <w:pPr>
            <w:rPr>
              <w:rStyle w:val="ReportTemplate"/>
            </w:rPr>
          </w:pPr>
          <w:r>
            <w:rPr>
              <w:rStyle w:val="Style6"/>
            </w:rPr>
            <w:t>Building Safety Bill</w:t>
          </w:r>
        </w:p>
      </w:sdtContent>
    </w:sdt>
    <w:p w14:paraId="344C328D" w14:textId="39DE6303" w:rsidR="006F5EDF" w:rsidRDefault="00AB6EBC" w:rsidP="00E5750D">
      <w:pPr>
        <w:pStyle w:val="ListParagraph"/>
        <w:numPr>
          <w:ilvl w:val="0"/>
          <w:numId w:val="3"/>
        </w:numPr>
        <w:contextualSpacing w:val="0"/>
        <w:rPr>
          <w:rFonts w:cs="Arial"/>
        </w:rPr>
      </w:pPr>
      <w:r>
        <w:rPr>
          <w:rFonts w:cs="Arial"/>
        </w:rPr>
        <w:t xml:space="preserve">The </w:t>
      </w:r>
      <w:r w:rsidR="006F5EDF">
        <w:rPr>
          <w:rFonts w:cs="Arial"/>
        </w:rPr>
        <w:t xml:space="preserve">LGA submitted written and oral evidence to the </w:t>
      </w:r>
      <w:r w:rsidR="00293407">
        <w:rPr>
          <w:rFonts w:cs="Arial"/>
        </w:rPr>
        <w:t xml:space="preserve">Public </w:t>
      </w:r>
      <w:r w:rsidR="006F5EDF">
        <w:rPr>
          <w:rFonts w:cs="Arial"/>
        </w:rPr>
        <w:t xml:space="preserve">Bill </w:t>
      </w:r>
      <w:r w:rsidR="00293407">
        <w:rPr>
          <w:rFonts w:cs="Arial"/>
        </w:rPr>
        <w:t>C</w:t>
      </w:r>
      <w:r w:rsidR="006F5EDF">
        <w:rPr>
          <w:rFonts w:cs="Arial"/>
        </w:rPr>
        <w:t>ommittee</w:t>
      </w:r>
      <w:r w:rsidR="00293407">
        <w:rPr>
          <w:rFonts w:cs="Arial"/>
        </w:rPr>
        <w:t xml:space="preserve"> (PBC) considering the Building Safety Bill</w:t>
      </w:r>
      <w:r w:rsidR="006F5EDF">
        <w:rPr>
          <w:rFonts w:cs="Arial"/>
        </w:rPr>
        <w:t xml:space="preserve">. </w:t>
      </w:r>
    </w:p>
    <w:p w14:paraId="024288A4" w14:textId="0D39F485" w:rsidR="005C36E1" w:rsidRPr="005C36E1" w:rsidRDefault="006F5EDF" w:rsidP="007249A5">
      <w:pPr>
        <w:pStyle w:val="ListParagraph"/>
        <w:numPr>
          <w:ilvl w:val="0"/>
          <w:numId w:val="3"/>
        </w:numPr>
        <w:contextualSpacing w:val="0"/>
        <w:rPr>
          <w:rFonts w:cs="Arial"/>
        </w:rPr>
      </w:pPr>
      <w:r>
        <w:rPr>
          <w:rFonts w:cs="Arial"/>
        </w:rPr>
        <w:t>The LGA drafted two amendments to support the aims set out in our evidence. These are at annex one and annex two.</w:t>
      </w:r>
      <w:r w:rsidR="00293407" w:rsidRPr="005C36E1">
        <w:rPr>
          <w:rFonts w:eastAsia="Times New Roman" w:cs="Arial"/>
        </w:rPr>
        <w:t xml:space="preserve"> </w:t>
      </w:r>
    </w:p>
    <w:p w14:paraId="3326BFCD" w14:textId="007C1A81" w:rsidR="00B759EA" w:rsidRPr="007249A5" w:rsidRDefault="006F5EDF" w:rsidP="007249A5">
      <w:pPr>
        <w:pStyle w:val="ListParagraph"/>
        <w:numPr>
          <w:ilvl w:val="0"/>
          <w:numId w:val="3"/>
        </w:numPr>
        <w:contextualSpacing w:val="0"/>
        <w:rPr>
          <w:rFonts w:cs="Arial"/>
        </w:rPr>
      </w:pPr>
      <w:r w:rsidRPr="005C36E1">
        <w:rPr>
          <w:rFonts w:cs="Arial"/>
        </w:rPr>
        <w:t xml:space="preserve">Separately the </w:t>
      </w:r>
      <w:r w:rsidR="00293407" w:rsidRPr="005C36E1">
        <w:rPr>
          <w:rFonts w:cs="Arial"/>
        </w:rPr>
        <w:t xml:space="preserve">LGA’s </w:t>
      </w:r>
      <w:r w:rsidRPr="005C36E1">
        <w:rPr>
          <w:rFonts w:cs="Arial"/>
        </w:rPr>
        <w:t xml:space="preserve">Housing Team has submitted a response to the consultation on the Levy </w:t>
      </w:r>
      <w:r w:rsidR="00996F96">
        <w:rPr>
          <w:rFonts w:cs="Arial"/>
        </w:rPr>
        <w:t xml:space="preserve">to be imposed on developers to pay for cladding remediation </w:t>
      </w:r>
      <w:r w:rsidRPr="005C36E1">
        <w:rPr>
          <w:rFonts w:cs="Arial"/>
        </w:rPr>
        <w:t xml:space="preserve">(and had already responded to the related </w:t>
      </w:r>
      <w:hyperlink r:id="rId15" w:history="1">
        <w:r w:rsidR="005C36E1" w:rsidRPr="007F030A">
          <w:rPr>
            <w:rStyle w:val="Hyperlink"/>
            <w:rFonts w:cs="Arial"/>
            <w:spacing w:val="-15"/>
          </w:rPr>
          <w:t>Residential Property Developer Tax</w:t>
        </w:r>
      </w:hyperlink>
      <w:r w:rsidR="005C36E1">
        <w:rPr>
          <w:rFonts w:cs="Arial"/>
          <w:spacing w:val="-15"/>
        </w:rPr>
        <w:t xml:space="preserve"> </w:t>
      </w:r>
      <w:r w:rsidRPr="005C36E1">
        <w:rPr>
          <w:rFonts w:cs="Arial"/>
        </w:rPr>
        <w:t>proposal).</w:t>
      </w:r>
      <w:r w:rsidR="000E6687">
        <w:rPr>
          <w:rFonts w:cs="Arial"/>
        </w:rPr>
        <w:t xml:space="preserve"> Our Levy response has not bee</w:t>
      </w:r>
      <w:r w:rsidR="0054278B">
        <w:rPr>
          <w:rFonts w:cs="Arial"/>
        </w:rPr>
        <w:t>n</w:t>
      </w:r>
      <w:r w:rsidR="000E6687">
        <w:rPr>
          <w:rFonts w:cs="Arial"/>
        </w:rPr>
        <w:t xml:space="preserve"> published yet.</w:t>
      </w:r>
      <w:r w:rsidR="00293407" w:rsidRPr="007249A5">
        <w:rPr>
          <w:rFonts w:cs="Arial"/>
        </w:rPr>
        <w:t xml:space="preserve"> </w:t>
      </w:r>
    </w:p>
    <w:p w14:paraId="26D4E1F9" w14:textId="61CAFEED" w:rsidR="00925B57" w:rsidRPr="005C36E1" w:rsidRDefault="005C36E1" w:rsidP="00925B57">
      <w:pPr>
        <w:ind w:left="360" w:hanging="360"/>
        <w:rPr>
          <w:rStyle w:val="normaltextrun"/>
          <w:rFonts w:cs="Arial"/>
          <w:b/>
          <w:bCs/>
        </w:rPr>
      </w:pPr>
      <w:r w:rsidRPr="005C36E1">
        <w:rPr>
          <w:rFonts w:cs="Arial"/>
          <w:b/>
          <w:bCs/>
        </w:rPr>
        <w:t>Fire Safety Act</w:t>
      </w:r>
    </w:p>
    <w:p w14:paraId="46C75FD2" w14:textId="3AC42B16" w:rsidR="007249A5" w:rsidRPr="00996F96" w:rsidRDefault="005C36E1" w:rsidP="00996F96">
      <w:pPr>
        <w:pStyle w:val="ListParagraph"/>
        <w:numPr>
          <w:ilvl w:val="0"/>
          <w:numId w:val="3"/>
        </w:numPr>
        <w:contextualSpacing w:val="0"/>
        <w:rPr>
          <w:rStyle w:val="normaltextrun"/>
          <w:rFonts w:cs="Arial"/>
        </w:rPr>
      </w:pPr>
      <w:r w:rsidRPr="00996F96">
        <w:rPr>
          <w:rStyle w:val="normaltextrun"/>
          <w:rFonts w:cs="Arial"/>
        </w:rPr>
        <w:t xml:space="preserve">The Home Office </w:t>
      </w:r>
      <w:r w:rsidR="007249A5" w:rsidRPr="00996F96">
        <w:rPr>
          <w:rStyle w:val="normaltextrun"/>
          <w:rFonts w:cs="Arial"/>
        </w:rPr>
        <w:t>has not commenced the Act as yet and therefore has not laid regulations delivering the Grenfell Tower inquiry phase one recommendations. W</w:t>
      </w:r>
      <w:r w:rsidR="00996F96">
        <w:rPr>
          <w:rStyle w:val="normaltextrun"/>
          <w:rFonts w:cs="Arial"/>
        </w:rPr>
        <w:t>e</w:t>
      </w:r>
      <w:r w:rsidR="007249A5" w:rsidRPr="00996F96">
        <w:rPr>
          <w:rStyle w:val="normaltextrun"/>
          <w:rFonts w:cs="Arial"/>
        </w:rPr>
        <w:t xml:space="preserve"> do not yet know when the Act will commence.</w:t>
      </w:r>
    </w:p>
    <w:sdt>
      <w:sdtPr>
        <w:rPr>
          <w:rStyle w:val="Style6"/>
        </w:rPr>
        <w:alias w:val="Wales"/>
        <w:tag w:val="Wales"/>
        <w:id w:val="77032369"/>
        <w:placeholder>
          <w:docPart w:val="EF238838C0B344A9B1FCF9145342D57C"/>
        </w:placeholder>
      </w:sdtPr>
      <w:sdtEndPr>
        <w:rPr>
          <w:rStyle w:val="Style6"/>
        </w:rPr>
      </w:sdtEndPr>
      <w:sdtContent>
        <w:p w14:paraId="3487E54D" w14:textId="12B5ABA9" w:rsidR="009B6F95" w:rsidRPr="00925B57" w:rsidRDefault="009B6F95" w:rsidP="00996F96">
          <w:pPr>
            <w:ind w:left="360" w:hanging="360"/>
            <w:rPr>
              <w:b/>
            </w:rPr>
          </w:pPr>
          <w:r w:rsidRPr="00C803F3">
            <w:rPr>
              <w:rStyle w:val="Style6"/>
            </w:rPr>
            <w:t>Implications for Wales</w:t>
          </w:r>
        </w:p>
      </w:sdtContent>
    </w:sdt>
    <w:p w14:paraId="3487E54E" w14:textId="6AB09F9A" w:rsidR="00856A48" w:rsidRDefault="00856A48" w:rsidP="00996F96">
      <w:pPr>
        <w:pStyle w:val="ListParagraph"/>
        <w:numPr>
          <w:ilvl w:val="0"/>
          <w:numId w:val="3"/>
        </w:numPr>
      </w:pPr>
      <w:r>
        <w:t xml:space="preserve">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w:t>
      </w:r>
      <w:r w:rsidR="001D76A9">
        <w:t>However,</w:t>
      </w:r>
      <w: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1D76A9" w:rsidP="00925B57">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46E1B1EF" w:rsidR="009B6F95" w:rsidRPr="004B2B96" w:rsidRDefault="00AB6EBC" w:rsidP="00996F96">
      <w:pPr>
        <w:pStyle w:val="ListParagraph"/>
        <w:numPr>
          <w:ilvl w:val="0"/>
          <w:numId w:val="3"/>
        </w:numPr>
        <w:contextualSpacing w:val="0"/>
        <w:rPr>
          <w:rStyle w:val="Title2"/>
          <w:b w:val="0"/>
          <w:sz w:val="22"/>
        </w:rPr>
      </w:pPr>
      <w:r>
        <w:t>None for LGA</w:t>
      </w:r>
      <w:r w:rsidR="00856A48" w:rsidRPr="004B2B96">
        <w:t>.</w:t>
      </w:r>
    </w:p>
    <w:p w14:paraId="3487E551" w14:textId="77777777" w:rsidR="009B6F95" w:rsidRPr="009B1AA8" w:rsidRDefault="001D76A9" w:rsidP="00925B57">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7C9929D8" w14:textId="63FB4E9F" w:rsidR="00293407" w:rsidRDefault="0054278B" w:rsidP="00996F96">
      <w:pPr>
        <w:pStyle w:val="ListParagraph"/>
        <w:numPr>
          <w:ilvl w:val="0"/>
          <w:numId w:val="3"/>
        </w:numPr>
        <w:contextualSpacing w:val="0"/>
        <w:rPr>
          <w:rStyle w:val="ReportTemplate"/>
        </w:rPr>
      </w:pPr>
      <w:r>
        <w:rPr>
          <w:rStyle w:val="ReportTemplate"/>
        </w:rPr>
        <w:t>Officers to take forward any actions</w:t>
      </w:r>
      <w:r w:rsidR="00856A48">
        <w:rPr>
          <w:rStyle w:val="ReportTemplate"/>
        </w:rPr>
        <w:t>.</w:t>
      </w:r>
    </w:p>
    <w:p w14:paraId="03C29290" w14:textId="010016CB" w:rsidR="00293407" w:rsidRPr="00293407" w:rsidRDefault="00293407">
      <w:pPr>
        <w:spacing w:line="259" w:lineRule="auto"/>
        <w:ind w:left="0" w:firstLine="0"/>
        <w:rPr>
          <w:rStyle w:val="ReportTemplate"/>
          <w:b/>
          <w:bCs/>
        </w:rPr>
      </w:pPr>
      <w:r>
        <w:rPr>
          <w:rStyle w:val="ReportTemplate"/>
        </w:rPr>
        <w:br w:type="page"/>
      </w:r>
      <w:r w:rsidRPr="00293407">
        <w:rPr>
          <w:rStyle w:val="ReportTemplate"/>
          <w:b/>
          <w:bCs/>
        </w:rPr>
        <w:lastRenderedPageBreak/>
        <w:t>Annex One – Levy amendment</w:t>
      </w:r>
    </w:p>
    <w:p w14:paraId="5B58ADE4" w14:textId="77777777" w:rsidR="00293407" w:rsidRPr="00F9790F" w:rsidRDefault="00293407" w:rsidP="00293407">
      <w:pPr>
        <w:rPr>
          <w:rFonts w:cs="Arial"/>
          <w:b/>
          <w:bCs/>
        </w:rPr>
      </w:pPr>
      <w:r w:rsidRPr="00F9790F">
        <w:rPr>
          <w:rFonts w:cs="Arial"/>
          <w:b/>
          <w:bCs/>
        </w:rPr>
        <w:t>Text:</w:t>
      </w:r>
    </w:p>
    <w:p w14:paraId="7413FDE2" w14:textId="77777777" w:rsidR="00293407" w:rsidRPr="00F9790F" w:rsidRDefault="00293407" w:rsidP="00293407">
      <w:pPr>
        <w:rPr>
          <w:rFonts w:cs="Arial"/>
        </w:rPr>
      </w:pPr>
      <w:r w:rsidRPr="00F9790F">
        <w:rPr>
          <w:rFonts w:cs="Arial"/>
        </w:rPr>
        <w:t xml:space="preserve">In Clause 57, after </w:t>
      </w:r>
    </w:p>
    <w:p w14:paraId="3DFFC32F" w14:textId="77777777" w:rsidR="00293407" w:rsidRPr="00F9790F" w:rsidRDefault="00293407" w:rsidP="00293407">
      <w:pPr>
        <w:ind w:left="720"/>
        <w:rPr>
          <w:rFonts w:cs="Arial"/>
          <w:i/>
          <w:iCs/>
        </w:rPr>
      </w:pPr>
      <w:r w:rsidRPr="00F9790F">
        <w:rPr>
          <w:rFonts w:cs="Arial"/>
          <w:i/>
          <w:iCs/>
        </w:rPr>
        <w:t>105(c)(4) The regulations may contain exemptions, for specified descriptions of person.</w:t>
      </w:r>
    </w:p>
    <w:p w14:paraId="17EFB420" w14:textId="77777777" w:rsidR="00293407" w:rsidRPr="00F9790F" w:rsidRDefault="00293407" w:rsidP="00293407">
      <w:pPr>
        <w:rPr>
          <w:rFonts w:cs="Arial"/>
        </w:rPr>
      </w:pPr>
      <w:r w:rsidRPr="00F9790F">
        <w:rPr>
          <w:rFonts w:cs="Arial"/>
        </w:rPr>
        <w:t>Insert new sub section</w:t>
      </w:r>
    </w:p>
    <w:p w14:paraId="61DDDF21" w14:textId="77777777" w:rsidR="00293407" w:rsidRPr="00F9790F" w:rsidRDefault="00293407" w:rsidP="00293407">
      <w:pPr>
        <w:ind w:left="720"/>
        <w:rPr>
          <w:rFonts w:cs="Arial"/>
          <w:b/>
          <w:bCs/>
          <w:i/>
          <w:iCs/>
        </w:rPr>
      </w:pPr>
      <w:r w:rsidRPr="00F9790F">
        <w:rPr>
          <w:rFonts w:cs="Arial"/>
          <w:i/>
          <w:iCs/>
        </w:rPr>
        <w:t xml:space="preserve">(5) The regulations must exempt applications or specified descriptions of relevant applications made by or on behalf of registered social landlords for the provision of social housing as defined by the </w:t>
      </w:r>
      <w:r>
        <w:rPr>
          <w:rFonts w:cs="Arial"/>
          <w:i/>
          <w:iCs/>
        </w:rPr>
        <w:t>H</w:t>
      </w:r>
      <w:r w:rsidRPr="00F9790F">
        <w:rPr>
          <w:rFonts w:cs="Arial"/>
          <w:i/>
          <w:iCs/>
        </w:rPr>
        <w:t>ousing and Regeneration Act 2008</w:t>
      </w:r>
      <w:r>
        <w:rPr>
          <w:rFonts w:cs="Arial"/>
          <w:i/>
          <w:iCs/>
        </w:rPr>
        <w:t xml:space="preserve"> (</w:t>
      </w:r>
      <w:hyperlink r:id="rId16" w:history="1">
        <w:r w:rsidRPr="00F9790F">
          <w:rPr>
            <w:rStyle w:val="Hyperlink"/>
            <w:rFonts w:cs="Arial"/>
            <w:i/>
            <w:iCs/>
          </w:rPr>
          <w:t>section 68</w:t>
        </w:r>
      </w:hyperlink>
      <w:r>
        <w:rPr>
          <w:rFonts w:cs="Arial"/>
          <w:i/>
          <w:iCs/>
        </w:rPr>
        <w:t>)</w:t>
      </w:r>
    </w:p>
    <w:p w14:paraId="17C5D4F9" w14:textId="77777777" w:rsidR="00293407" w:rsidRPr="00F9790F" w:rsidRDefault="00293407" w:rsidP="00293407">
      <w:pPr>
        <w:rPr>
          <w:rFonts w:cs="Arial"/>
          <w:b/>
          <w:bCs/>
        </w:rPr>
      </w:pPr>
      <w:r w:rsidRPr="00F9790F">
        <w:rPr>
          <w:rFonts w:cs="Arial"/>
          <w:b/>
          <w:bCs/>
        </w:rPr>
        <w:t>Effect:</w:t>
      </w:r>
    </w:p>
    <w:p w14:paraId="1B882216" w14:textId="77777777" w:rsidR="00293407" w:rsidRPr="00F9790F" w:rsidRDefault="00293407" w:rsidP="00996F96">
      <w:pPr>
        <w:ind w:left="0" w:firstLine="0"/>
        <w:rPr>
          <w:rFonts w:cs="Arial"/>
        </w:rPr>
      </w:pPr>
      <w:r w:rsidRPr="00F9790F">
        <w:rPr>
          <w:rFonts w:cs="Arial"/>
        </w:rPr>
        <w:t>This clause prevents the Levy on applications for building control approval in respect of higher-risk buildings introduced by clause 57 from being imposed on social housing.</w:t>
      </w:r>
    </w:p>
    <w:p w14:paraId="5090605C" w14:textId="77777777" w:rsidR="00293407" w:rsidRDefault="00293407" w:rsidP="00293407">
      <w:pPr>
        <w:rPr>
          <w:rFonts w:cs="Arial"/>
          <w:b/>
          <w:bCs/>
        </w:rPr>
      </w:pPr>
      <w:r w:rsidRPr="00F9790F">
        <w:rPr>
          <w:rFonts w:cs="Arial"/>
          <w:b/>
          <w:bCs/>
        </w:rPr>
        <w:t>Rationale:</w:t>
      </w:r>
    </w:p>
    <w:p w14:paraId="7646C5A8" w14:textId="1A4D1FF9" w:rsidR="00996F96" w:rsidRDefault="00293407" w:rsidP="00996F96">
      <w:pPr>
        <w:ind w:left="0" w:firstLine="0"/>
        <w:rPr>
          <w:rFonts w:cs="Arial"/>
          <w:b/>
          <w:bCs/>
        </w:rPr>
      </w:pPr>
      <w:r w:rsidRPr="00F9790F">
        <w:rPr>
          <w:rFonts w:cs="Arial"/>
        </w:rPr>
        <w:t xml:space="preserve">The Levy introduced by this clause is specifically designed to meet building safety expenditure. This expenditure is not the ongoing costs of the new building safety regime, which is met through the Building Safety Charge. Instead, the levy is designed to cover the cost of government support for the remediation of unsafe cladding. This support is provided to leaseholders in buildings with unsafe cladding systems, either through the building safety fund or through a system of low-cost loans for buildings under 18m the details of which have yet to be announced. For the most part this support is not available to social landlords, other than to alleviate costs they might otherwise pass on to leaseholders. With the exception of buildings with ACM cladding, social landlords have been denied access to these funds and for councils these remediation costs therefore fall on the Housing Revenue Account and must be recouped either through rent increases or by diverting funds away from improvements to council housing or the provision of new council housing. If the Levy is imposed on councils it will </w:t>
      </w:r>
      <w:r>
        <w:rPr>
          <w:rFonts w:cs="Arial"/>
        </w:rPr>
        <w:t xml:space="preserve">increase the </w:t>
      </w:r>
      <w:r w:rsidRPr="00F9790F">
        <w:rPr>
          <w:rFonts w:cs="Arial"/>
        </w:rPr>
        <w:t xml:space="preserve">cost of building or refurbishing social housing or increase rents, yet the benefits to funds will not be available to the tenants who would </w:t>
      </w:r>
      <w:r w:rsidR="001D76A9" w:rsidRPr="00F9790F">
        <w:rPr>
          <w:rFonts w:cs="Arial"/>
        </w:rPr>
        <w:t>otherwise</w:t>
      </w:r>
      <w:r w:rsidRPr="00F9790F">
        <w:rPr>
          <w:rFonts w:cs="Arial"/>
        </w:rPr>
        <w:t xml:space="preserve"> have benefitted from lower rents or better housing.</w:t>
      </w:r>
    </w:p>
    <w:p w14:paraId="630E7208" w14:textId="22CB8F57" w:rsidR="00293407" w:rsidRPr="00996F96" w:rsidRDefault="00293407" w:rsidP="00996F96">
      <w:pPr>
        <w:ind w:left="0" w:firstLine="0"/>
        <w:rPr>
          <w:rFonts w:cs="Arial"/>
          <w:b/>
          <w:bCs/>
        </w:rPr>
      </w:pPr>
      <w:r w:rsidRPr="00F9790F">
        <w:rPr>
          <w:rFonts w:cs="Arial"/>
        </w:rPr>
        <w:t>Imposing this levy o</w:t>
      </w:r>
      <w:r>
        <w:rPr>
          <w:rFonts w:cs="Arial"/>
        </w:rPr>
        <w:t>n</w:t>
      </w:r>
      <w:r w:rsidRPr="00F9790F">
        <w:rPr>
          <w:rFonts w:cs="Arial"/>
        </w:rPr>
        <w:t xml:space="preserve"> councils means council tenants will be subsiding the failures of private developers and paying the cost both of remediating council housing and private housing. </w:t>
      </w:r>
    </w:p>
    <w:p w14:paraId="324E0E26" w14:textId="77777777" w:rsidR="00996F96" w:rsidRDefault="00996F96" w:rsidP="00293407">
      <w:pPr>
        <w:rPr>
          <w:rFonts w:cs="Arial"/>
          <w:b/>
          <w:bCs/>
        </w:rPr>
      </w:pPr>
    </w:p>
    <w:p w14:paraId="5F3862BB" w14:textId="77777777" w:rsidR="00A06716" w:rsidRDefault="00A06716">
      <w:pPr>
        <w:spacing w:line="259" w:lineRule="auto"/>
        <w:ind w:left="0" w:firstLine="0"/>
        <w:rPr>
          <w:rFonts w:cs="Arial"/>
          <w:b/>
          <w:bCs/>
        </w:rPr>
      </w:pPr>
      <w:r>
        <w:rPr>
          <w:rFonts w:cs="Arial"/>
          <w:b/>
          <w:bCs/>
        </w:rPr>
        <w:br w:type="page"/>
      </w:r>
    </w:p>
    <w:p w14:paraId="4A55E674" w14:textId="054911B1" w:rsidR="00293407" w:rsidRDefault="00293407" w:rsidP="00293407">
      <w:pPr>
        <w:rPr>
          <w:rFonts w:cs="Arial"/>
          <w:b/>
          <w:bCs/>
        </w:rPr>
      </w:pPr>
      <w:r>
        <w:rPr>
          <w:rFonts w:cs="Arial"/>
          <w:b/>
          <w:bCs/>
        </w:rPr>
        <w:lastRenderedPageBreak/>
        <w:t>Annex 2 – Gateway Amendment</w:t>
      </w:r>
    </w:p>
    <w:p w14:paraId="5EDCB6D9" w14:textId="2FF44DB5" w:rsidR="00293407" w:rsidRPr="007E2F55" w:rsidRDefault="00293407" w:rsidP="00293407">
      <w:pPr>
        <w:rPr>
          <w:rFonts w:cs="Arial"/>
          <w:b/>
          <w:bCs/>
        </w:rPr>
      </w:pPr>
      <w:r w:rsidRPr="007E2F55">
        <w:rPr>
          <w:rFonts w:cs="Arial"/>
          <w:b/>
          <w:bCs/>
        </w:rPr>
        <w:t xml:space="preserve">Amend Section 32 </w:t>
      </w:r>
    </w:p>
    <w:p w14:paraId="545F9DDD" w14:textId="77777777" w:rsidR="00293407" w:rsidRPr="007E2F55" w:rsidRDefault="00293407" w:rsidP="00293407">
      <w:pPr>
        <w:rPr>
          <w:rFonts w:cs="Arial"/>
          <w:b/>
          <w:bCs/>
        </w:rPr>
      </w:pPr>
      <w:r w:rsidRPr="007E2F55">
        <w:rPr>
          <w:rFonts w:cs="Arial"/>
          <w:b/>
          <w:bCs/>
        </w:rPr>
        <w:t>After section 1I (6) of the amendment to schedule 1 of the Building Act 1984 (building regulations), insert</w:t>
      </w:r>
      <w:r>
        <w:rPr>
          <w:rFonts w:cs="Arial"/>
          <w:b/>
          <w:bCs/>
        </w:rPr>
        <w:t>:</w:t>
      </w:r>
    </w:p>
    <w:p w14:paraId="73380ADD" w14:textId="77777777" w:rsidR="00293407" w:rsidRDefault="00293407" w:rsidP="00293407">
      <w:pPr>
        <w:rPr>
          <w:rFonts w:cs="Arial"/>
          <w:i/>
          <w:iCs/>
        </w:rPr>
      </w:pPr>
      <w:r w:rsidRPr="007E2F55">
        <w:rPr>
          <w:rFonts w:cs="Arial"/>
          <w:i/>
          <w:iCs/>
        </w:rPr>
        <w:t xml:space="preserve">1J </w:t>
      </w:r>
    </w:p>
    <w:p w14:paraId="4805A97C" w14:textId="77777777" w:rsidR="00293407" w:rsidRPr="007E2F55" w:rsidRDefault="00293407" w:rsidP="001D76A9">
      <w:pPr>
        <w:ind w:left="0" w:firstLine="0"/>
        <w:rPr>
          <w:rFonts w:cs="Arial"/>
          <w:i/>
          <w:iCs/>
        </w:rPr>
      </w:pPr>
      <w:r w:rsidRPr="007E2F55">
        <w:rPr>
          <w:rFonts w:cs="Arial"/>
          <w:i/>
          <w:iCs/>
        </w:rPr>
        <w:t>where any regulations made under this schedule make any provision about the procedure that may or must be followed in relation to any work on any building for which the regulator is the building control authority, then</w:t>
      </w:r>
    </w:p>
    <w:p w14:paraId="1C43D4CA" w14:textId="77777777" w:rsidR="00293407" w:rsidRPr="007E2F55" w:rsidRDefault="00293407" w:rsidP="001D76A9">
      <w:pPr>
        <w:pStyle w:val="ListParagraph"/>
        <w:numPr>
          <w:ilvl w:val="0"/>
          <w:numId w:val="4"/>
        </w:numPr>
        <w:spacing w:line="259" w:lineRule="auto"/>
        <w:ind w:left="284" w:hanging="284"/>
        <w:rPr>
          <w:rFonts w:cs="Arial"/>
          <w:i/>
          <w:iCs/>
        </w:rPr>
      </w:pPr>
      <w:r w:rsidRPr="007E2F55">
        <w:rPr>
          <w:rFonts w:cs="Arial"/>
          <w:i/>
          <w:iCs/>
        </w:rPr>
        <w:t>the same provisions apply to any other building containing two or more dwellings.</w:t>
      </w:r>
    </w:p>
    <w:p w14:paraId="7146FB95" w14:textId="77777777" w:rsidR="00293407" w:rsidRPr="007E2F55" w:rsidRDefault="00293407" w:rsidP="001D76A9">
      <w:pPr>
        <w:pStyle w:val="ListParagraph"/>
        <w:numPr>
          <w:ilvl w:val="0"/>
          <w:numId w:val="4"/>
        </w:numPr>
        <w:spacing w:line="259" w:lineRule="auto"/>
        <w:ind w:left="284" w:hanging="284"/>
        <w:rPr>
          <w:rFonts w:cs="Arial"/>
          <w:i/>
          <w:iCs/>
        </w:rPr>
      </w:pPr>
      <w:r>
        <w:rPr>
          <w:rFonts w:cs="Arial"/>
          <w:i/>
          <w:iCs/>
        </w:rPr>
        <w:t>t</w:t>
      </w:r>
      <w:r w:rsidRPr="007E2F55">
        <w:rPr>
          <w:rFonts w:cs="Arial"/>
          <w:i/>
          <w:iCs/>
        </w:rPr>
        <w:t>he building control authority for any building for which the regulator is not the building control authority shall be the local authority in whose jurisdiction the building is situated.</w:t>
      </w:r>
    </w:p>
    <w:p w14:paraId="4B2E77CB" w14:textId="77777777" w:rsidR="00293407" w:rsidRPr="00C378EE" w:rsidRDefault="00293407" w:rsidP="00293407">
      <w:pPr>
        <w:rPr>
          <w:rFonts w:cs="Arial"/>
          <w:b/>
          <w:bCs/>
        </w:rPr>
      </w:pPr>
      <w:r w:rsidRPr="00C378EE">
        <w:rPr>
          <w:rFonts w:cs="Arial"/>
          <w:b/>
          <w:bCs/>
        </w:rPr>
        <w:t>Effect</w:t>
      </w:r>
      <w:r>
        <w:rPr>
          <w:rFonts w:cs="Arial"/>
          <w:b/>
          <w:bCs/>
        </w:rPr>
        <w:t>:</w:t>
      </w:r>
    </w:p>
    <w:p w14:paraId="50B6798B" w14:textId="77777777" w:rsidR="00293407" w:rsidRDefault="00293407" w:rsidP="00996F96">
      <w:pPr>
        <w:ind w:left="0" w:firstLine="0"/>
        <w:rPr>
          <w:rFonts w:cs="Arial"/>
        </w:rPr>
      </w:pPr>
      <w:r>
        <w:rPr>
          <w:rFonts w:cs="Arial"/>
        </w:rPr>
        <w:t xml:space="preserve">This amendment amends the section of the Bill that allows regulations to be made that will require buildings in the higher-risk regime to pass through Gateway 2 and Gateway 3. </w:t>
      </w:r>
    </w:p>
    <w:p w14:paraId="03619853" w14:textId="77777777" w:rsidR="00293407" w:rsidRDefault="00293407" w:rsidP="00293407">
      <w:pPr>
        <w:rPr>
          <w:rFonts w:cs="Arial"/>
        </w:rPr>
      </w:pPr>
      <w:r>
        <w:rPr>
          <w:rFonts w:cs="Arial"/>
        </w:rPr>
        <w:t xml:space="preserve">These Gateways allow the Building Safety Regulator (BSR): </w:t>
      </w:r>
    </w:p>
    <w:p w14:paraId="521D5EED" w14:textId="77777777" w:rsidR="00293407" w:rsidRDefault="00293407" w:rsidP="00E5750D">
      <w:pPr>
        <w:pStyle w:val="ListParagraph"/>
        <w:numPr>
          <w:ilvl w:val="0"/>
          <w:numId w:val="5"/>
        </w:numPr>
        <w:spacing w:line="259" w:lineRule="auto"/>
        <w:rPr>
          <w:rFonts w:cs="Arial"/>
        </w:rPr>
      </w:pPr>
      <w:r w:rsidRPr="00C378EE">
        <w:rPr>
          <w:rFonts w:cs="Arial"/>
        </w:rPr>
        <w:t xml:space="preserve">to prevent construction beginning if it is not satisfied with the designs of the building (Gateway 2) and </w:t>
      </w:r>
    </w:p>
    <w:p w14:paraId="4BCF7B78" w14:textId="77777777" w:rsidR="00293407" w:rsidRPr="00C378EE" w:rsidRDefault="00293407" w:rsidP="00E5750D">
      <w:pPr>
        <w:pStyle w:val="ListParagraph"/>
        <w:numPr>
          <w:ilvl w:val="0"/>
          <w:numId w:val="5"/>
        </w:numPr>
        <w:spacing w:line="259" w:lineRule="auto"/>
        <w:rPr>
          <w:rFonts w:cs="Arial"/>
        </w:rPr>
      </w:pPr>
      <w:r w:rsidRPr="00C378EE">
        <w:rPr>
          <w:rFonts w:cs="Arial"/>
        </w:rPr>
        <w:t>to prevent occupation if it is not satisfied with the construction (Gateway 3).</w:t>
      </w:r>
    </w:p>
    <w:p w14:paraId="71C08E78" w14:textId="77777777" w:rsidR="00293407" w:rsidRDefault="00293407" w:rsidP="00996F96">
      <w:pPr>
        <w:ind w:left="0" w:firstLine="0"/>
        <w:rPr>
          <w:rFonts w:cs="Arial"/>
        </w:rPr>
      </w:pPr>
      <w:r>
        <w:rPr>
          <w:rFonts w:cs="Arial"/>
        </w:rPr>
        <w:t>The effect of the amendment would be to ensure that if these Gateways are introduced for buildings over 18m, they would in fact apply to all multi-occupied residential buildings.</w:t>
      </w:r>
    </w:p>
    <w:p w14:paraId="032696AC" w14:textId="77777777" w:rsidR="00293407" w:rsidRDefault="00293407" w:rsidP="00996F96">
      <w:pPr>
        <w:ind w:left="0" w:firstLine="0"/>
        <w:rPr>
          <w:rFonts w:cs="Arial"/>
        </w:rPr>
      </w:pPr>
      <w:r>
        <w:rPr>
          <w:rFonts w:cs="Arial"/>
        </w:rPr>
        <w:t xml:space="preserve">For the buildings outside the higher-risk regime, the local authority would be the building control authority, not the BSR. </w:t>
      </w:r>
    </w:p>
    <w:p w14:paraId="7A6EE85F" w14:textId="77777777" w:rsidR="00293407" w:rsidRDefault="00293407" w:rsidP="00996F96">
      <w:pPr>
        <w:ind w:left="0" w:firstLine="0"/>
        <w:rPr>
          <w:rFonts w:cs="Arial"/>
        </w:rPr>
      </w:pPr>
      <w:r>
        <w:rPr>
          <w:rFonts w:cs="Arial"/>
        </w:rPr>
        <w:t>The amendment has the added benefit of removing competition in building control for multi-occupancy buildings. Approved Inspectors could be commissioned to do the work by local authorities where capacity constraints render this necessary and would be free to advise private developers.</w:t>
      </w:r>
    </w:p>
    <w:p w14:paraId="0BD584F2" w14:textId="77777777" w:rsidR="00293407" w:rsidRPr="00C378EE" w:rsidRDefault="00293407" w:rsidP="00293407">
      <w:pPr>
        <w:rPr>
          <w:rFonts w:cs="Arial"/>
          <w:b/>
          <w:bCs/>
        </w:rPr>
      </w:pPr>
      <w:r w:rsidRPr="00C378EE">
        <w:rPr>
          <w:rFonts w:cs="Arial"/>
          <w:b/>
          <w:bCs/>
        </w:rPr>
        <w:t>Explanation</w:t>
      </w:r>
    </w:p>
    <w:p w14:paraId="1959E8D8" w14:textId="77777777" w:rsidR="00293407" w:rsidRDefault="00293407" w:rsidP="00996F96">
      <w:pPr>
        <w:ind w:left="0" w:firstLine="0"/>
        <w:rPr>
          <w:rFonts w:cs="Arial"/>
        </w:rPr>
      </w:pPr>
      <w:r>
        <w:rPr>
          <w:rFonts w:cs="Arial"/>
        </w:rPr>
        <w:t xml:space="preserve">The LGA understands that the Health and Safety Executive (HSE) does not wish the BSR to regulate lower buildings because it feels it does not have the capacity. This would create a two-tier system and we are not convinced that the Government will ever expand the higher-risk regime to include more buildings. </w:t>
      </w:r>
    </w:p>
    <w:p w14:paraId="71CBCF3E" w14:textId="69896D22" w:rsidR="0035163B" w:rsidRPr="001D76A9" w:rsidRDefault="00293407" w:rsidP="001D76A9">
      <w:pPr>
        <w:ind w:left="0" w:firstLine="0"/>
        <w:rPr>
          <w:rFonts w:cs="Arial"/>
        </w:rPr>
      </w:pPr>
      <w:r>
        <w:rPr>
          <w:rFonts w:cs="Arial"/>
        </w:rPr>
        <w:t>While we agree that the capacity does not currently exist to expand the regime in relation to existing buildings, we believe that local authority building control could cover the operation of the Gateway system at all heights below 18m, thereby ensuring that in new buildings at least no two-tier system emerges.</w:t>
      </w:r>
    </w:p>
    <w:sectPr w:rsidR="0035163B" w:rsidRPr="001D76A9" w:rsidSect="001D76A9">
      <w:headerReference w:type="default" r:id="rId17"/>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6FB8F" w14:textId="77777777" w:rsidR="00DA2A40" w:rsidRPr="00C803F3" w:rsidRDefault="00DA2A40" w:rsidP="00C803F3">
      <w:r>
        <w:separator/>
      </w:r>
    </w:p>
  </w:endnote>
  <w:endnote w:type="continuationSeparator" w:id="0">
    <w:p w14:paraId="0DA3A759" w14:textId="77777777" w:rsidR="00DA2A40" w:rsidRPr="00C803F3" w:rsidRDefault="00DA2A4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65" w14:textId="526F24C9" w:rsidR="00B92D70" w:rsidRPr="003219CC" w:rsidRDefault="00B92D70"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4F9D6" w14:textId="77777777" w:rsidR="00DA2A40" w:rsidRPr="00C803F3" w:rsidRDefault="00DA2A40" w:rsidP="00C803F3">
      <w:r>
        <w:separator/>
      </w:r>
    </w:p>
  </w:footnote>
  <w:footnote w:type="continuationSeparator" w:id="0">
    <w:p w14:paraId="29A4DE43" w14:textId="77777777" w:rsidR="00DA2A40" w:rsidRPr="00C803F3" w:rsidRDefault="00DA2A4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7BC8" w14:textId="77777777" w:rsidR="00A06716" w:rsidRDefault="00A06716" w:rsidP="00A0671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06716" w14:paraId="4A635B94" w14:textId="77777777" w:rsidTr="00A06716">
      <w:trPr>
        <w:trHeight w:val="416"/>
      </w:trPr>
      <w:tc>
        <w:tcPr>
          <w:tcW w:w="5812" w:type="dxa"/>
          <w:vMerge w:val="restart"/>
          <w:hideMark/>
        </w:tcPr>
        <w:p w14:paraId="28679F3E" w14:textId="3D78D484" w:rsidR="00A06716" w:rsidRDefault="00A06716" w:rsidP="00A06716">
          <w:r>
            <w:rPr>
              <w:noProof/>
              <w:lang w:val="en-US"/>
            </w:rPr>
            <w:drawing>
              <wp:inline distT="0" distB="0" distL="0" distR="0" wp14:anchorId="5C0C4100" wp14:editId="581F226F">
                <wp:extent cx="1428750" cy="844550"/>
                <wp:effectExtent l="0" t="0" r="0" b="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4550"/>
                        </a:xfrm>
                        <a:prstGeom prst="rect">
                          <a:avLst/>
                        </a:prstGeom>
                        <a:noFill/>
                        <a:ln>
                          <a:noFill/>
                        </a:ln>
                      </pic:spPr>
                    </pic:pic>
                  </a:graphicData>
                </a:graphic>
              </wp:inline>
            </w:drawing>
          </w:r>
        </w:p>
      </w:tc>
      <w:sdt>
        <w:sdtPr>
          <w:alias w:val="Board"/>
          <w:tag w:val="Board"/>
          <w:id w:val="416908834"/>
          <w:placeholder>
            <w:docPart w:val="0E525B1E79DC4596AF6F34DE25E1EDDD"/>
          </w:placeholder>
        </w:sdtPr>
        <w:sdtContent>
          <w:tc>
            <w:tcPr>
              <w:tcW w:w="4106" w:type="dxa"/>
            </w:tcPr>
            <w:p w14:paraId="2A54E378" w14:textId="77777777" w:rsidR="00A06716" w:rsidRDefault="00A06716" w:rsidP="00A06716">
              <w:pPr>
                <w:ind w:left="0" w:firstLine="0"/>
                <w:rPr>
                  <w:b/>
                  <w:bCs/>
                </w:rPr>
              </w:pPr>
              <w:r>
                <w:rPr>
                  <w:b/>
                  <w:bCs/>
                </w:rPr>
                <w:t>Environment, Economy, Housing and Transport Board</w:t>
              </w:r>
            </w:p>
            <w:p w14:paraId="15A7332F" w14:textId="77777777" w:rsidR="00A06716" w:rsidRDefault="00A06716" w:rsidP="00A06716"/>
          </w:tc>
        </w:sdtContent>
      </w:sdt>
    </w:tr>
    <w:tr w:rsidR="00A06716" w14:paraId="114EDAF8" w14:textId="77777777" w:rsidTr="00A06716">
      <w:trPr>
        <w:trHeight w:val="406"/>
      </w:trPr>
      <w:tc>
        <w:tcPr>
          <w:tcW w:w="0" w:type="auto"/>
          <w:vMerge/>
          <w:vAlign w:val="center"/>
          <w:hideMark/>
        </w:tcPr>
        <w:p w14:paraId="60BD1DDF" w14:textId="77777777" w:rsidR="00A06716" w:rsidRDefault="00A06716" w:rsidP="00A06716">
          <w:pPr>
            <w:spacing w:line="240" w:lineRule="auto"/>
            <w:ind w:left="0"/>
          </w:pPr>
        </w:p>
      </w:tc>
      <w:tc>
        <w:tcPr>
          <w:tcW w:w="4106" w:type="dxa"/>
          <w:hideMark/>
        </w:tcPr>
        <w:sdt>
          <w:sdtPr>
            <w:alias w:val="Date"/>
            <w:tag w:val="Date"/>
            <w:id w:val="-488943452"/>
            <w:placeholder>
              <w:docPart w:val="57F2919514A54B2AAC8B0CA843277ECC"/>
            </w:placeholder>
            <w:date w:fullDate="2021-11-18T00:00:00Z">
              <w:dateFormat w:val="d MMMM yyyy"/>
              <w:lid w:val="en-GB"/>
              <w:storeMappedDataAs w:val="dateTime"/>
              <w:calendar w:val="gregorian"/>
            </w:date>
          </w:sdtPr>
          <w:sdtContent>
            <w:p w14:paraId="522FDD6F" w14:textId="77777777" w:rsidR="00A06716" w:rsidRDefault="00A06716" w:rsidP="00A06716">
              <w:r>
                <w:t>18 November 2021</w:t>
              </w:r>
            </w:p>
          </w:sdtContent>
        </w:sdt>
      </w:tc>
    </w:tr>
    <w:tr w:rsidR="00A06716" w14:paraId="701D106C" w14:textId="77777777" w:rsidTr="00A06716">
      <w:trPr>
        <w:trHeight w:val="89"/>
      </w:trPr>
      <w:tc>
        <w:tcPr>
          <w:tcW w:w="0" w:type="auto"/>
          <w:vMerge/>
          <w:vAlign w:val="center"/>
          <w:hideMark/>
        </w:tcPr>
        <w:p w14:paraId="1933284C" w14:textId="77777777" w:rsidR="00A06716" w:rsidRDefault="00A06716" w:rsidP="00A06716">
          <w:pPr>
            <w:spacing w:line="240" w:lineRule="auto"/>
            <w:ind w:left="0"/>
          </w:pPr>
        </w:p>
      </w:tc>
      <w:tc>
        <w:tcPr>
          <w:tcW w:w="4106" w:type="dxa"/>
        </w:tcPr>
        <w:p w14:paraId="5A9DBB08" w14:textId="77777777" w:rsidR="00A06716" w:rsidRDefault="00A06716" w:rsidP="00A06716"/>
      </w:tc>
    </w:tr>
  </w:tbl>
  <w:p w14:paraId="260BFC5E" w14:textId="77777777" w:rsidR="00A06716" w:rsidRDefault="00A06716" w:rsidP="00A06716">
    <w:pPr>
      <w:pStyle w:val="Header"/>
    </w:pPr>
  </w:p>
  <w:p w14:paraId="3487E564" w14:textId="77777777" w:rsidR="00B92D70" w:rsidRPr="00A06716" w:rsidRDefault="00B92D70" w:rsidP="00A06716">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3857"/>
    <w:multiLevelType w:val="hybridMultilevel"/>
    <w:tmpl w:val="0436DD6E"/>
    <w:lvl w:ilvl="0" w:tplc="AFF0F78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10"/>
    <w:multiLevelType w:val="multilevel"/>
    <w:tmpl w:val="78BE71F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D841B22"/>
    <w:multiLevelType w:val="multilevel"/>
    <w:tmpl w:val="FD704A54"/>
    <w:lvl w:ilvl="0">
      <w:start w:val="13"/>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FC5A9A"/>
    <w:multiLevelType w:val="hybridMultilevel"/>
    <w:tmpl w:val="1D2EE9EC"/>
    <w:lvl w:ilvl="0" w:tplc="71E2530A">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E7032"/>
    <w:multiLevelType w:val="hybridMultilevel"/>
    <w:tmpl w:val="FFCAB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7B18FB"/>
    <w:multiLevelType w:val="hybridMultilevel"/>
    <w:tmpl w:val="F376A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296D"/>
    <w:rsid w:val="00016097"/>
    <w:rsid w:val="0002112B"/>
    <w:rsid w:val="00022CB9"/>
    <w:rsid w:val="000344AC"/>
    <w:rsid w:val="000501B8"/>
    <w:rsid w:val="00055F0C"/>
    <w:rsid w:val="00056B7C"/>
    <w:rsid w:val="000873D4"/>
    <w:rsid w:val="000A5BA8"/>
    <w:rsid w:val="000B05EC"/>
    <w:rsid w:val="000B7B96"/>
    <w:rsid w:val="000C231C"/>
    <w:rsid w:val="000C5B33"/>
    <w:rsid w:val="000E0F80"/>
    <w:rsid w:val="000E6687"/>
    <w:rsid w:val="000F3D0E"/>
    <w:rsid w:val="000F606E"/>
    <w:rsid w:val="000F69FB"/>
    <w:rsid w:val="001238AA"/>
    <w:rsid w:val="00123CB4"/>
    <w:rsid w:val="00140890"/>
    <w:rsid w:val="0016256B"/>
    <w:rsid w:val="00172F7A"/>
    <w:rsid w:val="00176C9D"/>
    <w:rsid w:val="00183CD9"/>
    <w:rsid w:val="001857C9"/>
    <w:rsid w:val="001A4A4E"/>
    <w:rsid w:val="001B36CE"/>
    <w:rsid w:val="001C3159"/>
    <w:rsid w:val="001D76A9"/>
    <w:rsid w:val="001E2F21"/>
    <w:rsid w:val="001F0993"/>
    <w:rsid w:val="001F1E13"/>
    <w:rsid w:val="001F4E13"/>
    <w:rsid w:val="0022295D"/>
    <w:rsid w:val="00235727"/>
    <w:rsid w:val="002539E9"/>
    <w:rsid w:val="002571A3"/>
    <w:rsid w:val="0026411A"/>
    <w:rsid w:val="00267B89"/>
    <w:rsid w:val="00284E37"/>
    <w:rsid w:val="00290B77"/>
    <w:rsid w:val="00293407"/>
    <w:rsid w:val="002B2418"/>
    <w:rsid w:val="00301A51"/>
    <w:rsid w:val="00301C71"/>
    <w:rsid w:val="00310100"/>
    <w:rsid w:val="00312F4B"/>
    <w:rsid w:val="003219CC"/>
    <w:rsid w:val="00322993"/>
    <w:rsid w:val="00344413"/>
    <w:rsid w:val="0035163B"/>
    <w:rsid w:val="00386419"/>
    <w:rsid w:val="00386FCA"/>
    <w:rsid w:val="00390231"/>
    <w:rsid w:val="00397E64"/>
    <w:rsid w:val="003A1667"/>
    <w:rsid w:val="003B3B59"/>
    <w:rsid w:val="003C0377"/>
    <w:rsid w:val="003C59EF"/>
    <w:rsid w:val="00401A30"/>
    <w:rsid w:val="00413B64"/>
    <w:rsid w:val="00426795"/>
    <w:rsid w:val="00432A9C"/>
    <w:rsid w:val="004345A7"/>
    <w:rsid w:val="00440604"/>
    <w:rsid w:val="004427E2"/>
    <w:rsid w:val="004459C3"/>
    <w:rsid w:val="00452A08"/>
    <w:rsid w:val="00454F6D"/>
    <w:rsid w:val="00457F55"/>
    <w:rsid w:val="00473437"/>
    <w:rsid w:val="0047538F"/>
    <w:rsid w:val="00487C9D"/>
    <w:rsid w:val="0049632F"/>
    <w:rsid w:val="004A3F70"/>
    <w:rsid w:val="004B2B96"/>
    <w:rsid w:val="004B348D"/>
    <w:rsid w:val="004C0BA6"/>
    <w:rsid w:val="004D42E9"/>
    <w:rsid w:val="004F48AC"/>
    <w:rsid w:val="005018E9"/>
    <w:rsid w:val="00524340"/>
    <w:rsid w:val="00530006"/>
    <w:rsid w:val="0053282C"/>
    <w:rsid w:val="005352C9"/>
    <w:rsid w:val="00537F0A"/>
    <w:rsid w:val="0054278B"/>
    <w:rsid w:val="005614BC"/>
    <w:rsid w:val="0056375A"/>
    <w:rsid w:val="0058395B"/>
    <w:rsid w:val="00585CF8"/>
    <w:rsid w:val="00586F52"/>
    <w:rsid w:val="005B2C6A"/>
    <w:rsid w:val="005B6380"/>
    <w:rsid w:val="005C36E1"/>
    <w:rsid w:val="005D5BB4"/>
    <w:rsid w:val="005E1C98"/>
    <w:rsid w:val="005E7DD3"/>
    <w:rsid w:val="00672D37"/>
    <w:rsid w:val="00676B3F"/>
    <w:rsid w:val="00687005"/>
    <w:rsid w:val="00690525"/>
    <w:rsid w:val="00693173"/>
    <w:rsid w:val="00694589"/>
    <w:rsid w:val="006B2F9D"/>
    <w:rsid w:val="006B54DE"/>
    <w:rsid w:val="006D7BBD"/>
    <w:rsid w:val="006F16EC"/>
    <w:rsid w:val="006F5EDF"/>
    <w:rsid w:val="00701F77"/>
    <w:rsid w:val="00712C86"/>
    <w:rsid w:val="007236F3"/>
    <w:rsid w:val="007249A5"/>
    <w:rsid w:val="00753484"/>
    <w:rsid w:val="007622BA"/>
    <w:rsid w:val="00763A92"/>
    <w:rsid w:val="00773358"/>
    <w:rsid w:val="00775893"/>
    <w:rsid w:val="00795595"/>
    <w:rsid w:val="00795C95"/>
    <w:rsid w:val="0079628C"/>
    <w:rsid w:val="007A6153"/>
    <w:rsid w:val="007B0406"/>
    <w:rsid w:val="007B316B"/>
    <w:rsid w:val="007B3268"/>
    <w:rsid w:val="007B3698"/>
    <w:rsid w:val="007B4510"/>
    <w:rsid w:val="007E1923"/>
    <w:rsid w:val="007F030A"/>
    <w:rsid w:val="007F527F"/>
    <w:rsid w:val="0080661C"/>
    <w:rsid w:val="00812E58"/>
    <w:rsid w:val="0083509C"/>
    <w:rsid w:val="00841E16"/>
    <w:rsid w:val="00842872"/>
    <w:rsid w:val="0085075B"/>
    <w:rsid w:val="0085079E"/>
    <w:rsid w:val="00855430"/>
    <w:rsid w:val="00856A48"/>
    <w:rsid w:val="00861B25"/>
    <w:rsid w:val="0086586F"/>
    <w:rsid w:val="00865FF9"/>
    <w:rsid w:val="008665D9"/>
    <w:rsid w:val="00867B5A"/>
    <w:rsid w:val="00874113"/>
    <w:rsid w:val="00891AE9"/>
    <w:rsid w:val="00892A72"/>
    <w:rsid w:val="008B07C9"/>
    <w:rsid w:val="008B3280"/>
    <w:rsid w:val="008C45B1"/>
    <w:rsid w:val="008E4109"/>
    <w:rsid w:val="008F22DE"/>
    <w:rsid w:val="00925B57"/>
    <w:rsid w:val="00943995"/>
    <w:rsid w:val="00947570"/>
    <w:rsid w:val="00962E51"/>
    <w:rsid w:val="00987F20"/>
    <w:rsid w:val="009946D3"/>
    <w:rsid w:val="00996F96"/>
    <w:rsid w:val="009A508C"/>
    <w:rsid w:val="009B06D7"/>
    <w:rsid w:val="009B1AA8"/>
    <w:rsid w:val="009B3D20"/>
    <w:rsid w:val="009B6F95"/>
    <w:rsid w:val="009C6077"/>
    <w:rsid w:val="009D7A2B"/>
    <w:rsid w:val="009F265C"/>
    <w:rsid w:val="00A06716"/>
    <w:rsid w:val="00A2128D"/>
    <w:rsid w:val="00A33E27"/>
    <w:rsid w:val="00A443D3"/>
    <w:rsid w:val="00A52AF4"/>
    <w:rsid w:val="00AA3FF7"/>
    <w:rsid w:val="00AB6EBC"/>
    <w:rsid w:val="00AD3BAD"/>
    <w:rsid w:val="00AD759F"/>
    <w:rsid w:val="00AE552A"/>
    <w:rsid w:val="00B03BB3"/>
    <w:rsid w:val="00B04059"/>
    <w:rsid w:val="00B07C62"/>
    <w:rsid w:val="00B2068D"/>
    <w:rsid w:val="00B50056"/>
    <w:rsid w:val="00B51875"/>
    <w:rsid w:val="00B56D9E"/>
    <w:rsid w:val="00B759EA"/>
    <w:rsid w:val="00B81D81"/>
    <w:rsid w:val="00B84F31"/>
    <w:rsid w:val="00B92D70"/>
    <w:rsid w:val="00B97FCB"/>
    <w:rsid w:val="00BA2624"/>
    <w:rsid w:val="00BA297A"/>
    <w:rsid w:val="00BA2CC3"/>
    <w:rsid w:val="00BC33D8"/>
    <w:rsid w:val="00BC5AD3"/>
    <w:rsid w:val="00BD3410"/>
    <w:rsid w:val="00BE0145"/>
    <w:rsid w:val="00C020A5"/>
    <w:rsid w:val="00C0649A"/>
    <w:rsid w:val="00C1662A"/>
    <w:rsid w:val="00C265DA"/>
    <w:rsid w:val="00C365CD"/>
    <w:rsid w:val="00C576CF"/>
    <w:rsid w:val="00C630EC"/>
    <w:rsid w:val="00C6403F"/>
    <w:rsid w:val="00C8033A"/>
    <w:rsid w:val="00C803F3"/>
    <w:rsid w:val="00C869C7"/>
    <w:rsid w:val="00C91014"/>
    <w:rsid w:val="00CD31CA"/>
    <w:rsid w:val="00CD67F8"/>
    <w:rsid w:val="00CF23CF"/>
    <w:rsid w:val="00D01DE9"/>
    <w:rsid w:val="00D07A6E"/>
    <w:rsid w:val="00D1131D"/>
    <w:rsid w:val="00D122F5"/>
    <w:rsid w:val="00D1408B"/>
    <w:rsid w:val="00D1719F"/>
    <w:rsid w:val="00D2216D"/>
    <w:rsid w:val="00D33853"/>
    <w:rsid w:val="00D37091"/>
    <w:rsid w:val="00D41EC8"/>
    <w:rsid w:val="00D45B4D"/>
    <w:rsid w:val="00D46D1D"/>
    <w:rsid w:val="00D6186D"/>
    <w:rsid w:val="00D629F5"/>
    <w:rsid w:val="00D85218"/>
    <w:rsid w:val="00D940C8"/>
    <w:rsid w:val="00DA07D2"/>
    <w:rsid w:val="00DA2A40"/>
    <w:rsid w:val="00DA3D7E"/>
    <w:rsid w:val="00DA7394"/>
    <w:rsid w:val="00DB2108"/>
    <w:rsid w:val="00DC00F4"/>
    <w:rsid w:val="00DE09D1"/>
    <w:rsid w:val="00E07BAD"/>
    <w:rsid w:val="00E2510E"/>
    <w:rsid w:val="00E43B03"/>
    <w:rsid w:val="00E45B9A"/>
    <w:rsid w:val="00E50BC3"/>
    <w:rsid w:val="00E5750D"/>
    <w:rsid w:val="00E619A2"/>
    <w:rsid w:val="00E85CC5"/>
    <w:rsid w:val="00E96983"/>
    <w:rsid w:val="00EB1338"/>
    <w:rsid w:val="00EC261B"/>
    <w:rsid w:val="00ED689A"/>
    <w:rsid w:val="00EF3D53"/>
    <w:rsid w:val="00F05B39"/>
    <w:rsid w:val="00F13E38"/>
    <w:rsid w:val="00F2166F"/>
    <w:rsid w:val="00F27636"/>
    <w:rsid w:val="00F30033"/>
    <w:rsid w:val="00F404AD"/>
    <w:rsid w:val="00F4482D"/>
    <w:rsid w:val="00F52C09"/>
    <w:rsid w:val="00F61D50"/>
    <w:rsid w:val="00F70CF1"/>
    <w:rsid w:val="00F935B9"/>
    <w:rsid w:val="00FA26B3"/>
    <w:rsid w:val="00FB7E45"/>
    <w:rsid w:val="00FE0438"/>
    <w:rsid w:val="00FE771E"/>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CD6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8395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00296D"/>
    <w:rPr>
      <w:color w:val="954F72" w:themeColor="followedHyperlink"/>
      <w:u w:val="single"/>
    </w:rPr>
  </w:style>
  <w:style w:type="character" w:customStyle="1" w:styleId="Heading4Char">
    <w:name w:val="Heading 4 Char"/>
    <w:basedOn w:val="DefaultParagraphFont"/>
    <w:link w:val="Heading4"/>
    <w:uiPriority w:val="9"/>
    <w:rsid w:val="0058395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CD67F8"/>
    <w:rPr>
      <w:rFonts w:asciiTheme="majorHAnsi" w:eastAsiaTheme="majorEastAsia" w:hAnsiTheme="majorHAnsi" w:cstheme="majorBidi"/>
      <w:color w:val="2E74B5" w:themeColor="accent1" w:themeShade="BF"/>
      <w:sz w:val="32"/>
      <w:szCs w:val="32"/>
      <w:lang w:eastAsia="en-US"/>
    </w:rPr>
  </w:style>
  <w:style w:type="paragraph" w:customStyle="1" w:styleId="paragraph">
    <w:name w:val="paragraph"/>
    <w:basedOn w:val="Normal"/>
    <w:rsid w:val="00B759EA"/>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9EA"/>
  </w:style>
  <w:style w:type="character" w:customStyle="1" w:styleId="eop">
    <w:name w:val="eop"/>
    <w:basedOn w:val="DefaultParagraphFont"/>
    <w:rsid w:val="00B759EA"/>
  </w:style>
  <w:style w:type="paragraph" w:customStyle="1" w:styleId="xmsonormal">
    <w:name w:val="x_msonormal"/>
    <w:basedOn w:val="Normal"/>
    <w:rsid w:val="003A1667"/>
    <w:pPr>
      <w:spacing w:after="0" w:line="240" w:lineRule="auto"/>
      <w:ind w:left="0" w:firstLine="0"/>
    </w:pPr>
    <w:rPr>
      <w:rFonts w:ascii="Calibri" w:hAnsi="Calibri" w:cs="Calibri"/>
      <w:lang w:eastAsia="en-GB"/>
    </w:rPr>
  </w:style>
  <w:style w:type="paragraph" w:styleId="PlainText">
    <w:name w:val="Plain Text"/>
    <w:basedOn w:val="Normal"/>
    <w:link w:val="PlainTextChar"/>
    <w:uiPriority w:val="99"/>
    <w:semiHidden/>
    <w:unhideWhenUsed/>
    <w:rsid w:val="000E0F80"/>
    <w:pPr>
      <w:spacing w:after="0" w:line="240" w:lineRule="auto"/>
      <w:ind w:left="0" w:firstLine="0"/>
    </w:pPr>
    <w:rPr>
      <w:szCs w:val="21"/>
    </w:rPr>
  </w:style>
  <w:style w:type="character" w:customStyle="1" w:styleId="PlainTextChar">
    <w:name w:val="Plain Text Char"/>
    <w:basedOn w:val="DefaultParagraphFont"/>
    <w:link w:val="PlainText"/>
    <w:uiPriority w:val="99"/>
    <w:semiHidden/>
    <w:rsid w:val="000E0F80"/>
    <w:rPr>
      <w:rFonts w:ascii="Arial" w:eastAsiaTheme="minorHAnsi"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1768">
      <w:bodyDiv w:val="1"/>
      <w:marLeft w:val="0"/>
      <w:marRight w:val="0"/>
      <w:marTop w:val="0"/>
      <w:marBottom w:val="0"/>
      <w:divBdr>
        <w:top w:val="none" w:sz="0" w:space="0" w:color="auto"/>
        <w:left w:val="none" w:sz="0" w:space="0" w:color="auto"/>
        <w:bottom w:val="none" w:sz="0" w:space="0" w:color="auto"/>
        <w:right w:val="none" w:sz="0" w:space="0" w:color="auto"/>
      </w:divBdr>
    </w:div>
    <w:div w:id="51971734">
      <w:bodyDiv w:val="1"/>
      <w:marLeft w:val="0"/>
      <w:marRight w:val="0"/>
      <w:marTop w:val="0"/>
      <w:marBottom w:val="0"/>
      <w:divBdr>
        <w:top w:val="none" w:sz="0" w:space="0" w:color="auto"/>
        <w:left w:val="none" w:sz="0" w:space="0" w:color="auto"/>
        <w:bottom w:val="none" w:sz="0" w:space="0" w:color="auto"/>
        <w:right w:val="none" w:sz="0" w:space="0" w:color="auto"/>
      </w:divBdr>
    </w:div>
    <w:div w:id="54084006">
      <w:bodyDiv w:val="1"/>
      <w:marLeft w:val="0"/>
      <w:marRight w:val="0"/>
      <w:marTop w:val="0"/>
      <w:marBottom w:val="0"/>
      <w:divBdr>
        <w:top w:val="none" w:sz="0" w:space="0" w:color="auto"/>
        <w:left w:val="none" w:sz="0" w:space="0" w:color="auto"/>
        <w:bottom w:val="none" w:sz="0" w:space="0" w:color="auto"/>
        <w:right w:val="none" w:sz="0" w:space="0" w:color="auto"/>
      </w:divBdr>
    </w:div>
    <w:div w:id="173813400">
      <w:bodyDiv w:val="1"/>
      <w:marLeft w:val="0"/>
      <w:marRight w:val="0"/>
      <w:marTop w:val="0"/>
      <w:marBottom w:val="0"/>
      <w:divBdr>
        <w:top w:val="none" w:sz="0" w:space="0" w:color="auto"/>
        <w:left w:val="none" w:sz="0" w:space="0" w:color="auto"/>
        <w:bottom w:val="none" w:sz="0" w:space="0" w:color="auto"/>
        <w:right w:val="none" w:sz="0" w:space="0" w:color="auto"/>
      </w:divBdr>
    </w:div>
    <w:div w:id="206111881">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409162901">
      <w:bodyDiv w:val="1"/>
      <w:marLeft w:val="0"/>
      <w:marRight w:val="0"/>
      <w:marTop w:val="0"/>
      <w:marBottom w:val="0"/>
      <w:divBdr>
        <w:top w:val="none" w:sz="0" w:space="0" w:color="auto"/>
        <w:left w:val="none" w:sz="0" w:space="0" w:color="auto"/>
        <w:bottom w:val="none" w:sz="0" w:space="0" w:color="auto"/>
        <w:right w:val="none" w:sz="0" w:space="0" w:color="auto"/>
      </w:divBdr>
    </w:div>
    <w:div w:id="457067772">
      <w:bodyDiv w:val="1"/>
      <w:marLeft w:val="0"/>
      <w:marRight w:val="0"/>
      <w:marTop w:val="0"/>
      <w:marBottom w:val="0"/>
      <w:divBdr>
        <w:top w:val="none" w:sz="0" w:space="0" w:color="auto"/>
        <w:left w:val="none" w:sz="0" w:space="0" w:color="auto"/>
        <w:bottom w:val="none" w:sz="0" w:space="0" w:color="auto"/>
        <w:right w:val="none" w:sz="0" w:space="0" w:color="auto"/>
      </w:divBdr>
    </w:div>
    <w:div w:id="584189559">
      <w:bodyDiv w:val="1"/>
      <w:marLeft w:val="0"/>
      <w:marRight w:val="0"/>
      <w:marTop w:val="0"/>
      <w:marBottom w:val="0"/>
      <w:divBdr>
        <w:top w:val="none" w:sz="0" w:space="0" w:color="auto"/>
        <w:left w:val="none" w:sz="0" w:space="0" w:color="auto"/>
        <w:bottom w:val="none" w:sz="0" w:space="0" w:color="auto"/>
        <w:right w:val="none" w:sz="0" w:space="0" w:color="auto"/>
      </w:divBdr>
    </w:div>
    <w:div w:id="590820223">
      <w:bodyDiv w:val="1"/>
      <w:marLeft w:val="0"/>
      <w:marRight w:val="0"/>
      <w:marTop w:val="0"/>
      <w:marBottom w:val="0"/>
      <w:divBdr>
        <w:top w:val="none" w:sz="0" w:space="0" w:color="auto"/>
        <w:left w:val="none" w:sz="0" w:space="0" w:color="auto"/>
        <w:bottom w:val="none" w:sz="0" w:space="0" w:color="auto"/>
        <w:right w:val="none" w:sz="0" w:space="0" w:color="auto"/>
      </w:divBdr>
      <w:divsChild>
        <w:div w:id="84691751">
          <w:marLeft w:val="0"/>
          <w:marRight w:val="0"/>
          <w:marTop w:val="0"/>
          <w:marBottom w:val="0"/>
          <w:divBdr>
            <w:top w:val="none" w:sz="0" w:space="0" w:color="auto"/>
            <w:left w:val="none" w:sz="0" w:space="0" w:color="auto"/>
            <w:bottom w:val="none" w:sz="0" w:space="0" w:color="auto"/>
            <w:right w:val="none" w:sz="0" w:space="0" w:color="auto"/>
          </w:divBdr>
        </w:div>
        <w:div w:id="722365061">
          <w:marLeft w:val="0"/>
          <w:marRight w:val="0"/>
          <w:marTop w:val="0"/>
          <w:marBottom w:val="0"/>
          <w:divBdr>
            <w:top w:val="none" w:sz="0" w:space="0" w:color="auto"/>
            <w:left w:val="none" w:sz="0" w:space="0" w:color="auto"/>
            <w:bottom w:val="none" w:sz="0" w:space="0" w:color="auto"/>
            <w:right w:val="none" w:sz="0" w:space="0" w:color="auto"/>
          </w:divBdr>
        </w:div>
        <w:div w:id="1425762896">
          <w:marLeft w:val="0"/>
          <w:marRight w:val="0"/>
          <w:marTop w:val="0"/>
          <w:marBottom w:val="0"/>
          <w:divBdr>
            <w:top w:val="none" w:sz="0" w:space="0" w:color="auto"/>
            <w:left w:val="none" w:sz="0" w:space="0" w:color="auto"/>
            <w:bottom w:val="none" w:sz="0" w:space="0" w:color="auto"/>
            <w:right w:val="none" w:sz="0" w:space="0" w:color="auto"/>
          </w:divBdr>
        </w:div>
        <w:div w:id="887373733">
          <w:marLeft w:val="0"/>
          <w:marRight w:val="0"/>
          <w:marTop w:val="0"/>
          <w:marBottom w:val="0"/>
          <w:divBdr>
            <w:top w:val="none" w:sz="0" w:space="0" w:color="auto"/>
            <w:left w:val="none" w:sz="0" w:space="0" w:color="auto"/>
            <w:bottom w:val="none" w:sz="0" w:space="0" w:color="auto"/>
            <w:right w:val="none" w:sz="0" w:space="0" w:color="auto"/>
          </w:divBdr>
        </w:div>
        <w:div w:id="1848446256">
          <w:marLeft w:val="0"/>
          <w:marRight w:val="0"/>
          <w:marTop w:val="0"/>
          <w:marBottom w:val="0"/>
          <w:divBdr>
            <w:top w:val="none" w:sz="0" w:space="0" w:color="auto"/>
            <w:left w:val="none" w:sz="0" w:space="0" w:color="auto"/>
            <w:bottom w:val="none" w:sz="0" w:space="0" w:color="auto"/>
            <w:right w:val="none" w:sz="0" w:space="0" w:color="auto"/>
          </w:divBdr>
        </w:div>
        <w:div w:id="18089567">
          <w:marLeft w:val="0"/>
          <w:marRight w:val="0"/>
          <w:marTop w:val="0"/>
          <w:marBottom w:val="0"/>
          <w:divBdr>
            <w:top w:val="none" w:sz="0" w:space="0" w:color="auto"/>
            <w:left w:val="none" w:sz="0" w:space="0" w:color="auto"/>
            <w:bottom w:val="none" w:sz="0" w:space="0" w:color="auto"/>
            <w:right w:val="none" w:sz="0" w:space="0" w:color="auto"/>
          </w:divBdr>
        </w:div>
        <w:div w:id="1819223075">
          <w:marLeft w:val="0"/>
          <w:marRight w:val="0"/>
          <w:marTop w:val="0"/>
          <w:marBottom w:val="0"/>
          <w:divBdr>
            <w:top w:val="none" w:sz="0" w:space="0" w:color="auto"/>
            <w:left w:val="none" w:sz="0" w:space="0" w:color="auto"/>
            <w:bottom w:val="none" w:sz="0" w:space="0" w:color="auto"/>
            <w:right w:val="none" w:sz="0" w:space="0" w:color="auto"/>
          </w:divBdr>
        </w:div>
        <w:div w:id="192424341">
          <w:marLeft w:val="0"/>
          <w:marRight w:val="0"/>
          <w:marTop w:val="0"/>
          <w:marBottom w:val="0"/>
          <w:divBdr>
            <w:top w:val="none" w:sz="0" w:space="0" w:color="auto"/>
            <w:left w:val="none" w:sz="0" w:space="0" w:color="auto"/>
            <w:bottom w:val="none" w:sz="0" w:space="0" w:color="auto"/>
            <w:right w:val="none" w:sz="0" w:space="0" w:color="auto"/>
          </w:divBdr>
        </w:div>
        <w:div w:id="1608075413">
          <w:marLeft w:val="0"/>
          <w:marRight w:val="0"/>
          <w:marTop w:val="0"/>
          <w:marBottom w:val="0"/>
          <w:divBdr>
            <w:top w:val="none" w:sz="0" w:space="0" w:color="auto"/>
            <w:left w:val="none" w:sz="0" w:space="0" w:color="auto"/>
            <w:bottom w:val="none" w:sz="0" w:space="0" w:color="auto"/>
            <w:right w:val="none" w:sz="0" w:space="0" w:color="auto"/>
          </w:divBdr>
        </w:div>
        <w:div w:id="1036615400">
          <w:marLeft w:val="0"/>
          <w:marRight w:val="0"/>
          <w:marTop w:val="0"/>
          <w:marBottom w:val="0"/>
          <w:divBdr>
            <w:top w:val="none" w:sz="0" w:space="0" w:color="auto"/>
            <w:left w:val="none" w:sz="0" w:space="0" w:color="auto"/>
            <w:bottom w:val="none" w:sz="0" w:space="0" w:color="auto"/>
            <w:right w:val="none" w:sz="0" w:space="0" w:color="auto"/>
          </w:divBdr>
        </w:div>
        <w:div w:id="1006714452">
          <w:marLeft w:val="0"/>
          <w:marRight w:val="0"/>
          <w:marTop w:val="0"/>
          <w:marBottom w:val="0"/>
          <w:divBdr>
            <w:top w:val="none" w:sz="0" w:space="0" w:color="auto"/>
            <w:left w:val="none" w:sz="0" w:space="0" w:color="auto"/>
            <w:bottom w:val="none" w:sz="0" w:space="0" w:color="auto"/>
            <w:right w:val="none" w:sz="0" w:space="0" w:color="auto"/>
          </w:divBdr>
        </w:div>
        <w:div w:id="479812846">
          <w:marLeft w:val="0"/>
          <w:marRight w:val="0"/>
          <w:marTop w:val="0"/>
          <w:marBottom w:val="0"/>
          <w:divBdr>
            <w:top w:val="none" w:sz="0" w:space="0" w:color="auto"/>
            <w:left w:val="none" w:sz="0" w:space="0" w:color="auto"/>
            <w:bottom w:val="none" w:sz="0" w:space="0" w:color="auto"/>
            <w:right w:val="none" w:sz="0" w:space="0" w:color="auto"/>
          </w:divBdr>
        </w:div>
        <w:div w:id="1142307107">
          <w:marLeft w:val="0"/>
          <w:marRight w:val="0"/>
          <w:marTop w:val="0"/>
          <w:marBottom w:val="0"/>
          <w:divBdr>
            <w:top w:val="none" w:sz="0" w:space="0" w:color="auto"/>
            <w:left w:val="none" w:sz="0" w:space="0" w:color="auto"/>
            <w:bottom w:val="none" w:sz="0" w:space="0" w:color="auto"/>
            <w:right w:val="none" w:sz="0" w:space="0" w:color="auto"/>
          </w:divBdr>
        </w:div>
        <w:div w:id="318387579">
          <w:marLeft w:val="0"/>
          <w:marRight w:val="0"/>
          <w:marTop w:val="0"/>
          <w:marBottom w:val="0"/>
          <w:divBdr>
            <w:top w:val="none" w:sz="0" w:space="0" w:color="auto"/>
            <w:left w:val="none" w:sz="0" w:space="0" w:color="auto"/>
            <w:bottom w:val="none" w:sz="0" w:space="0" w:color="auto"/>
            <w:right w:val="none" w:sz="0" w:space="0" w:color="auto"/>
          </w:divBdr>
        </w:div>
        <w:div w:id="1341733721">
          <w:marLeft w:val="0"/>
          <w:marRight w:val="0"/>
          <w:marTop w:val="0"/>
          <w:marBottom w:val="0"/>
          <w:divBdr>
            <w:top w:val="none" w:sz="0" w:space="0" w:color="auto"/>
            <w:left w:val="none" w:sz="0" w:space="0" w:color="auto"/>
            <w:bottom w:val="none" w:sz="0" w:space="0" w:color="auto"/>
            <w:right w:val="none" w:sz="0" w:space="0" w:color="auto"/>
          </w:divBdr>
        </w:div>
        <w:div w:id="42414259">
          <w:marLeft w:val="0"/>
          <w:marRight w:val="0"/>
          <w:marTop w:val="0"/>
          <w:marBottom w:val="0"/>
          <w:divBdr>
            <w:top w:val="none" w:sz="0" w:space="0" w:color="auto"/>
            <w:left w:val="none" w:sz="0" w:space="0" w:color="auto"/>
            <w:bottom w:val="none" w:sz="0" w:space="0" w:color="auto"/>
            <w:right w:val="none" w:sz="0" w:space="0" w:color="auto"/>
          </w:divBdr>
        </w:div>
        <w:div w:id="1711957732">
          <w:marLeft w:val="0"/>
          <w:marRight w:val="0"/>
          <w:marTop w:val="0"/>
          <w:marBottom w:val="0"/>
          <w:divBdr>
            <w:top w:val="none" w:sz="0" w:space="0" w:color="auto"/>
            <w:left w:val="none" w:sz="0" w:space="0" w:color="auto"/>
            <w:bottom w:val="none" w:sz="0" w:space="0" w:color="auto"/>
            <w:right w:val="none" w:sz="0" w:space="0" w:color="auto"/>
          </w:divBdr>
        </w:div>
        <w:div w:id="271713885">
          <w:marLeft w:val="0"/>
          <w:marRight w:val="0"/>
          <w:marTop w:val="0"/>
          <w:marBottom w:val="0"/>
          <w:divBdr>
            <w:top w:val="none" w:sz="0" w:space="0" w:color="auto"/>
            <w:left w:val="none" w:sz="0" w:space="0" w:color="auto"/>
            <w:bottom w:val="none" w:sz="0" w:space="0" w:color="auto"/>
            <w:right w:val="none" w:sz="0" w:space="0" w:color="auto"/>
          </w:divBdr>
        </w:div>
        <w:div w:id="788471020">
          <w:marLeft w:val="0"/>
          <w:marRight w:val="0"/>
          <w:marTop w:val="0"/>
          <w:marBottom w:val="0"/>
          <w:divBdr>
            <w:top w:val="none" w:sz="0" w:space="0" w:color="auto"/>
            <w:left w:val="none" w:sz="0" w:space="0" w:color="auto"/>
            <w:bottom w:val="none" w:sz="0" w:space="0" w:color="auto"/>
            <w:right w:val="none" w:sz="0" w:space="0" w:color="auto"/>
          </w:divBdr>
        </w:div>
        <w:div w:id="1649086493">
          <w:marLeft w:val="0"/>
          <w:marRight w:val="0"/>
          <w:marTop w:val="0"/>
          <w:marBottom w:val="0"/>
          <w:divBdr>
            <w:top w:val="none" w:sz="0" w:space="0" w:color="auto"/>
            <w:left w:val="none" w:sz="0" w:space="0" w:color="auto"/>
            <w:bottom w:val="none" w:sz="0" w:space="0" w:color="auto"/>
            <w:right w:val="none" w:sz="0" w:space="0" w:color="auto"/>
          </w:divBdr>
        </w:div>
        <w:div w:id="593822879">
          <w:marLeft w:val="0"/>
          <w:marRight w:val="0"/>
          <w:marTop w:val="0"/>
          <w:marBottom w:val="0"/>
          <w:divBdr>
            <w:top w:val="none" w:sz="0" w:space="0" w:color="auto"/>
            <w:left w:val="none" w:sz="0" w:space="0" w:color="auto"/>
            <w:bottom w:val="none" w:sz="0" w:space="0" w:color="auto"/>
            <w:right w:val="none" w:sz="0" w:space="0" w:color="auto"/>
          </w:divBdr>
        </w:div>
        <w:div w:id="1483543887">
          <w:marLeft w:val="0"/>
          <w:marRight w:val="0"/>
          <w:marTop w:val="0"/>
          <w:marBottom w:val="0"/>
          <w:divBdr>
            <w:top w:val="none" w:sz="0" w:space="0" w:color="auto"/>
            <w:left w:val="none" w:sz="0" w:space="0" w:color="auto"/>
            <w:bottom w:val="none" w:sz="0" w:space="0" w:color="auto"/>
            <w:right w:val="none" w:sz="0" w:space="0" w:color="auto"/>
          </w:divBdr>
        </w:div>
        <w:div w:id="229930281">
          <w:marLeft w:val="0"/>
          <w:marRight w:val="0"/>
          <w:marTop w:val="0"/>
          <w:marBottom w:val="0"/>
          <w:divBdr>
            <w:top w:val="none" w:sz="0" w:space="0" w:color="auto"/>
            <w:left w:val="none" w:sz="0" w:space="0" w:color="auto"/>
            <w:bottom w:val="none" w:sz="0" w:space="0" w:color="auto"/>
            <w:right w:val="none" w:sz="0" w:space="0" w:color="auto"/>
          </w:divBdr>
        </w:div>
        <w:div w:id="962855025">
          <w:marLeft w:val="0"/>
          <w:marRight w:val="0"/>
          <w:marTop w:val="0"/>
          <w:marBottom w:val="0"/>
          <w:divBdr>
            <w:top w:val="none" w:sz="0" w:space="0" w:color="auto"/>
            <w:left w:val="none" w:sz="0" w:space="0" w:color="auto"/>
            <w:bottom w:val="none" w:sz="0" w:space="0" w:color="auto"/>
            <w:right w:val="none" w:sz="0" w:space="0" w:color="auto"/>
          </w:divBdr>
        </w:div>
        <w:div w:id="153910132">
          <w:marLeft w:val="0"/>
          <w:marRight w:val="0"/>
          <w:marTop w:val="0"/>
          <w:marBottom w:val="0"/>
          <w:divBdr>
            <w:top w:val="none" w:sz="0" w:space="0" w:color="auto"/>
            <w:left w:val="none" w:sz="0" w:space="0" w:color="auto"/>
            <w:bottom w:val="none" w:sz="0" w:space="0" w:color="auto"/>
            <w:right w:val="none" w:sz="0" w:space="0" w:color="auto"/>
          </w:divBdr>
        </w:div>
        <w:div w:id="612321053">
          <w:marLeft w:val="0"/>
          <w:marRight w:val="0"/>
          <w:marTop w:val="0"/>
          <w:marBottom w:val="0"/>
          <w:divBdr>
            <w:top w:val="none" w:sz="0" w:space="0" w:color="auto"/>
            <w:left w:val="none" w:sz="0" w:space="0" w:color="auto"/>
            <w:bottom w:val="none" w:sz="0" w:space="0" w:color="auto"/>
            <w:right w:val="none" w:sz="0" w:space="0" w:color="auto"/>
          </w:divBdr>
        </w:div>
        <w:div w:id="939026320">
          <w:marLeft w:val="0"/>
          <w:marRight w:val="0"/>
          <w:marTop w:val="0"/>
          <w:marBottom w:val="0"/>
          <w:divBdr>
            <w:top w:val="none" w:sz="0" w:space="0" w:color="auto"/>
            <w:left w:val="none" w:sz="0" w:space="0" w:color="auto"/>
            <w:bottom w:val="none" w:sz="0" w:space="0" w:color="auto"/>
            <w:right w:val="none" w:sz="0" w:space="0" w:color="auto"/>
          </w:divBdr>
        </w:div>
        <w:div w:id="695273566">
          <w:marLeft w:val="0"/>
          <w:marRight w:val="0"/>
          <w:marTop w:val="0"/>
          <w:marBottom w:val="0"/>
          <w:divBdr>
            <w:top w:val="none" w:sz="0" w:space="0" w:color="auto"/>
            <w:left w:val="none" w:sz="0" w:space="0" w:color="auto"/>
            <w:bottom w:val="none" w:sz="0" w:space="0" w:color="auto"/>
            <w:right w:val="none" w:sz="0" w:space="0" w:color="auto"/>
          </w:divBdr>
        </w:div>
        <w:div w:id="421148476">
          <w:marLeft w:val="0"/>
          <w:marRight w:val="0"/>
          <w:marTop w:val="0"/>
          <w:marBottom w:val="0"/>
          <w:divBdr>
            <w:top w:val="none" w:sz="0" w:space="0" w:color="auto"/>
            <w:left w:val="none" w:sz="0" w:space="0" w:color="auto"/>
            <w:bottom w:val="none" w:sz="0" w:space="0" w:color="auto"/>
            <w:right w:val="none" w:sz="0" w:space="0" w:color="auto"/>
          </w:divBdr>
        </w:div>
        <w:div w:id="634679511">
          <w:marLeft w:val="0"/>
          <w:marRight w:val="0"/>
          <w:marTop w:val="0"/>
          <w:marBottom w:val="0"/>
          <w:divBdr>
            <w:top w:val="none" w:sz="0" w:space="0" w:color="auto"/>
            <w:left w:val="none" w:sz="0" w:space="0" w:color="auto"/>
            <w:bottom w:val="none" w:sz="0" w:space="0" w:color="auto"/>
            <w:right w:val="none" w:sz="0" w:space="0" w:color="auto"/>
          </w:divBdr>
        </w:div>
      </w:divsChild>
    </w:div>
    <w:div w:id="833107190">
      <w:bodyDiv w:val="1"/>
      <w:marLeft w:val="0"/>
      <w:marRight w:val="0"/>
      <w:marTop w:val="0"/>
      <w:marBottom w:val="0"/>
      <w:divBdr>
        <w:top w:val="none" w:sz="0" w:space="0" w:color="auto"/>
        <w:left w:val="none" w:sz="0" w:space="0" w:color="auto"/>
        <w:bottom w:val="none" w:sz="0" w:space="0" w:color="auto"/>
        <w:right w:val="none" w:sz="0" w:space="0" w:color="auto"/>
      </w:divBdr>
    </w:div>
    <w:div w:id="1014115065">
      <w:bodyDiv w:val="1"/>
      <w:marLeft w:val="0"/>
      <w:marRight w:val="0"/>
      <w:marTop w:val="0"/>
      <w:marBottom w:val="0"/>
      <w:divBdr>
        <w:top w:val="none" w:sz="0" w:space="0" w:color="auto"/>
        <w:left w:val="none" w:sz="0" w:space="0" w:color="auto"/>
        <w:bottom w:val="none" w:sz="0" w:space="0" w:color="auto"/>
        <w:right w:val="none" w:sz="0" w:space="0" w:color="auto"/>
      </w:divBdr>
    </w:div>
    <w:div w:id="10822160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26720246">
      <w:bodyDiv w:val="1"/>
      <w:marLeft w:val="0"/>
      <w:marRight w:val="0"/>
      <w:marTop w:val="0"/>
      <w:marBottom w:val="0"/>
      <w:divBdr>
        <w:top w:val="none" w:sz="0" w:space="0" w:color="auto"/>
        <w:left w:val="none" w:sz="0" w:space="0" w:color="auto"/>
        <w:bottom w:val="none" w:sz="0" w:space="0" w:color="auto"/>
        <w:right w:val="none" w:sz="0" w:space="0" w:color="auto"/>
      </w:divBdr>
    </w:div>
    <w:div w:id="1362243666">
      <w:bodyDiv w:val="1"/>
      <w:marLeft w:val="0"/>
      <w:marRight w:val="0"/>
      <w:marTop w:val="0"/>
      <w:marBottom w:val="0"/>
      <w:divBdr>
        <w:top w:val="none" w:sz="0" w:space="0" w:color="auto"/>
        <w:left w:val="none" w:sz="0" w:space="0" w:color="auto"/>
        <w:bottom w:val="none" w:sz="0" w:space="0" w:color="auto"/>
        <w:right w:val="none" w:sz="0" w:space="0" w:color="auto"/>
      </w:divBdr>
    </w:div>
    <w:div w:id="1461806976">
      <w:bodyDiv w:val="1"/>
      <w:marLeft w:val="0"/>
      <w:marRight w:val="0"/>
      <w:marTop w:val="0"/>
      <w:marBottom w:val="0"/>
      <w:divBdr>
        <w:top w:val="none" w:sz="0" w:space="0" w:color="auto"/>
        <w:left w:val="none" w:sz="0" w:space="0" w:color="auto"/>
        <w:bottom w:val="none" w:sz="0" w:space="0" w:color="auto"/>
        <w:right w:val="none" w:sz="0" w:space="0" w:color="auto"/>
      </w:divBdr>
    </w:div>
    <w:div w:id="1462649753">
      <w:bodyDiv w:val="1"/>
      <w:marLeft w:val="0"/>
      <w:marRight w:val="0"/>
      <w:marTop w:val="0"/>
      <w:marBottom w:val="0"/>
      <w:divBdr>
        <w:top w:val="none" w:sz="0" w:space="0" w:color="auto"/>
        <w:left w:val="none" w:sz="0" w:space="0" w:color="auto"/>
        <w:bottom w:val="none" w:sz="0" w:space="0" w:color="auto"/>
        <w:right w:val="none" w:sz="0" w:space="0" w:color="auto"/>
      </w:divBdr>
    </w:div>
    <w:div w:id="1499537827">
      <w:bodyDiv w:val="1"/>
      <w:marLeft w:val="0"/>
      <w:marRight w:val="0"/>
      <w:marTop w:val="0"/>
      <w:marBottom w:val="0"/>
      <w:divBdr>
        <w:top w:val="none" w:sz="0" w:space="0" w:color="auto"/>
        <w:left w:val="none" w:sz="0" w:space="0" w:color="auto"/>
        <w:bottom w:val="none" w:sz="0" w:space="0" w:color="auto"/>
        <w:right w:val="none" w:sz="0" w:space="0" w:color="auto"/>
      </w:divBdr>
    </w:div>
    <w:div w:id="1518080688">
      <w:bodyDiv w:val="1"/>
      <w:marLeft w:val="0"/>
      <w:marRight w:val="0"/>
      <w:marTop w:val="0"/>
      <w:marBottom w:val="0"/>
      <w:divBdr>
        <w:top w:val="none" w:sz="0" w:space="0" w:color="auto"/>
        <w:left w:val="none" w:sz="0" w:space="0" w:color="auto"/>
        <w:bottom w:val="none" w:sz="0" w:space="0" w:color="auto"/>
        <w:right w:val="none" w:sz="0" w:space="0" w:color="auto"/>
      </w:divBdr>
    </w:div>
    <w:div w:id="1585147593">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732457818">
      <w:bodyDiv w:val="1"/>
      <w:marLeft w:val="0"/>
      <w:marRight w:val="0"/>
      <w:marTop w:val="0"/>
      <w:marBottom w:val="0"/>
      <w:divBdr>
        <w:top w:val="none" w:sz="0" w:space="0" w:color="auto"/>
        <w:left w:val="none" w:sz="0" w:space="0" w:color="auto"/>
        <w:bottom w:val="none" w:sz="0" w:space="0" w:color="auto"/>
        <w:right w:val="none" w:sz="0" w:space="0" w:color="auto"/>
      </w:divBdr>
    </w:div>
    <w:div w:id="1754548924">
      <w:bodyDiv w:val="1"/>
      <w:marLeft w:val="0"/>
      <w:marRight w:val="0"/>
      <w:marTop w:val="0"/>
      <w:marBottom w:val="0"/>
      <w:divBdr>
        <w:top w:val="none" w:sz="0" w:space="0" w:color="auto"/>
        <w:left w:val="none" w:sz="0" w:space="0" w:color="auto"/>
        <w:bottom w:val="none" w:sz="0" w:space="0" w:color="auto"/>
        <w:right w:val="none" w:sz="0" w:space="0" w:color="auto"/>
      </w:divBdr>
    </w:div>
    <w:div w:id="1796486651">
      <w:bodyDiv w:val="1"/>
      <w:marLeft w:val="0"/>
      <w:marRight w:val="0"/>
      <w:marTop w:val="0"/>
      <w:marBottom w:val="0"/>
      <w:divBdr>
        <w:top w:val="none" w:sz="0" w:space="0" w:color="auto"/>
        <w:left w:val="none" w:sz="0" w:space="0" w:color="auto"/>
        <w:bottom w:val="none" w:sz="0" w:space="0" w:color="auto"/>
        <w:right w:val="none" w:sz="0" w:space="0" w:color="auto"/>
      </w:divBdr>
    </w:div>
    <w:div w:id="1815634739">
      <w:bodyDiv w:val="1"/>
      <w:marLeft w:val="0"/>
      <w:marRight w:val="0"/>
      <w:marTop w:val="0"/>
      <w:marBottom w:val="0"/>
      <w:divBdr>
        <w:top w:val="none" w:sz="0" w:space="0" w:color="auto"/>
        <w:left w:val="none" w:sz="0" w:space="0" w:color="auto"/>
        <w:bottom w:val="none" w:sz="0" w:space="0" w:color="auto"/>
        <w:right w:val="none" w:sz="0" w:space="0" w:color="auto"/>
      </w:divBdr>
      <w:divsChild>
        <w:div w:id="1712420421">
          <w:marLeft w:val="0"/>
          <w:marRight w:val="0"/>
          <w:marTop w:val="0"/>
          <w:marBottom w:val="0"/>
          <w:divBdr>
            <w:top w:val="none" w:sz="0" w:space="0" w:color="auto"/>
            <w:left w:val="none" w:sz="0" w:space="0" w:color="auto"/>
            <w:bottom w:val="none" w:sz="0" w:space="0" w:color="auto"/>
            <w:right w:val="none" w:sz="0" w:space="0" w:color="auto"/>
          </w:divBdr>
        </w:div>
        <w:div w:id="1925647436">
          <w:marLeft w:val="0"/>
          <w:marRight w:val="0"/>
          <w:marTop w:val="0"/>
          <w:marBottom w:val="0"/>
          <w:divBdr>
            <w:top w:val="none" w:sz="0" w:space="0" w:color="auto"/>
            <w:left w:val="none" w:sz="0" w:space="0" w:color="auto"/>
            <w:bottom w:val="none" w:sz="0" w:space="0" w:color="auto"/>
            <w:right w:val="none" w:sz="0" w:space="0" w:color="auto"/>
          </w:divBdr>
        </w:div>
        <w:div w:id="1801916786">
          <w:marLeft w:val="0"/>
          <w:marRight w:val="0"/>
          <w:marTop w:val="0"/>
          <w:marBottom w:val="0"/>
          <w:divBdr>
            <w:top w:val="none" w:sz="0" w:space="0" w:color="auto"/>
            <w:left w:val="none" w:sz="0" w:space="0" w:color="auto"/>
            <w:bottom w:val="none" w:sz="0" w:space="0" w:color="auto"/>
            <w:right w:val="none" w:sz="0" w:space="0" w:color="auto"/>
          </w:divBdr>
        </w:div>
        <w:div w:id="1441758332">
          <w:marLeft w:val="0"/>
          <w:marRight w:val="0"/>
          <w:marTop w:val="0"/>
          <w:marBottom w:val="0"/>
          <w:divBdr>
            <w:top w:val="none" w:sz="0" w:space="0" w:color="auto"/>
            <w:left w:val="none" w:sz="0" w:space="0" w:color="auto"/>
            <w:bottom w:val="none" w:sz="0" w:space="0" w:color="auto"/>
            <w:right w:val="none" w:sz="0" w:space="0" w:color="auto"/>
          </w:divBdr>
        </w:div>
        <w:div w:id="1191065551">
          <w:marLeft w:val="0"/>
          <w:marRight w:val="0"/>
          <w:marTop w:val="0"/>
          <w:marBottom w:val="0"/>
          <w:divBdr>
            <w:top w:val="none" w:sz="0" w:space="0" w:color="auto"/>
            <w:left w:val="none" w:sz="0" w:space="0" w:color="auto"/>
            <w:bottom w:val="none" w:sz="0" w:space="0" w:color="auto"/>
            <w:right w:val="none" w:sz="0" w:space="0" w:color="auto"/>
          </w:divBdr>
        </w:div>
        <w:div w:id="530918166">
          <w:marLeft w:val="0"/>
          <w:marRight w:val="0"/>
          <w:marTop w:val="0"/>
          <w:marBottom w:val="0"/>
          <w:divBdr>
            <w:top w:val="none" w:sz="0" w:space="0" w:color="auto"/>
            <w:left w:val="none" w:sz="0" w:space="0" w:color="auto"/>
            <w:bottom w:val="none" w:sz="0" w:space="0" w:color="auto"/>
            <w:right w:val="none" w:sz="0" w:space="0" w:color="auto"/>
          </w:divBdr>
        </w:div>
        <w:div w:id="1813523396">
          <w:marLeft w:val="0"/>
          <w:marRight w:val="0"/>
          <w:marTop w:val="0"/>
          <w:marBottom w:val="0"/>
          <w:divBdr>
            <w:top w:val="none" w:sz="0" w:space="0" w:color="auto"/>
            <w:left w:val="none" w:sz="0" w:space="0" w:color="auto"/>
            <w:bottom w:val="none" w:sz="0" w:space="0" w:color="auto"/>
            <w:right w:val="none" w:sz="0" w:space="0" w:color="auto"/>
          </w:divBdr>
        </w:div>
        <w:div w:id="78017363">
          <w:marLeft w:val="0"/>
          <w:marRight w:val="0"/>
          <w:marTop w:val="0"/>
          <w:marBottom w:val="0"/>
          <w:divBdr>
            <w:top w:val="none" w:sz="0" w:space="0" w:color="auto"/>
            <w:left w:val="none" w:sz="0" w:space="0" w:color="auto"/>
            <w:bottom w:val="none" w:sz="0" w:space="0" w:color="auto"/>
            <w:right w:val="none" w:sz="0" w:space="0" w:color="auto"/>
          </w:divBdr>
        </w:div>
        <w:div w:id="236331360">
          <w:marLeft w:val="0"/>
          <w:marRight w:val="0"/>
          <w:marTop w:val="0"/>
          <w:marBottom w:val="0"/>
          <w:divBdr>
            <w:top w:val="none" w:sz="0" w:space="0" w:color="auto"/>
            <w:left w:val="none" w:sz="0" w:space="0" w:color="auto"/>
            <w:bottom w:val="none" w:sz="0" w:space="0" w:color="auto"/>
            <w:right w:val="none" w:sz="0" w:space="0" w:color="auto"/>
          </w:divBdr>
        </w:div>
        <w:div w:id="1995403913">
          <w:marLeft w:val="0"/>
          <w:marRight w:val="0"/>
          <w:marTop w:val="0"/>
          <w:marBottom w:val="0"/>
          <w:divBdr>
            <w:top w:val="none" w:sz="0" w:space="0" w:color="auto"/>
            <w:left w:val="none" w:sz="0" w:space="0" w:color="auto"/>
            <w:bottom w:val="none" w:sz="0" w:space="0" w:color="auto"/>
            <w:right w:val="none" w:sz="0" w:space="0" w:color="auto"/>
          </w:divBdr>
        </w:div>
        <w:div w:id="1043361405">
          <w:marLeft w:val="0"/>
          <w:marRight w:val="0"/>
          <w:marTop w:val="0"/>
          <w:marBottom w:val="0"/>
          <w:divBdr>
            <w:top w:val="none" w:sz="0" w:space="0" w:color="auto"/>
            <w:left w:val="none" w:sz="0" w:space="0" w:color="auto"/>
            <w:bottom w:val="none" w:sz="0" w:space="0" w:color="auto"/>
            <w:right w:val="none" w:sz="0" w:space="0" w:color="auto"/>
          </w:divBdr>
        </w:div>
        <w:div w:id="1433863915">
          <w:marLeft w:val="0"/>
          <w:marRight w:val="0"/>
          <w:marTop w:val="0"/>
          <w:marBottom w:val="0"/>
          <w:divBdr>
            <w:top w:val="none" w:sz="0" w:space="0" w:color="auto"/>
            <w:left w:val="none" w:sz="0" w:space="0" w:color="auto"/>
            <w:bottom w:val="none" w:sz="0" w:space="0" w:color="auto"/>
            <w:right w:val="none" w:sz="0" w:space="0" w:color="auto"/>
          </w:divBdr>
        </w:div>
        <w:div w:id="1732003129">
          <w:marLeft w:val="0"/>
          <w:marRight w:val="0"/>
          <w:marTop w:val="0"/>
          <w:marBottom w:val="0"/>
          <w:divBdr>
            <w:top w:val="none" w:sz="0" w:space="0" w:color="auto"/>
            <w:left w:val="none" w:sz="0" w:space="0" w:color="auto"/>
            <w:bottom w:val="none" w:sz="0" w:space="0" w:color="auto"/>
            <w:right w:val="none" w:sz="0" w:space="0" w:color="auto"/>
          </w:divBdr>
        </w:div>
        <w:div w:id="750660145">
          <w:marLeft w:val="0"/>
          <w:marRight w:val="0"/>
          <w:marTop w:val="0"/>
          <w:marBottom w:val="0"/>
          <w:divBdr>
            <w:top w:val="none" w:sz="0" w:space="0" w:color="auto"/>
            <w:left w:val="none" w:sz="0" w:space="0" w:color="auto"/>
            <w:bottom w:val="none" w:sz="0" w:space="0" w:color="auto"/>
            <w:right w:val="none" w:sz="0" w:space="0" w:color="auto"/>
          </w:divBdr>
        </w:div>
        <w:div w:id="1129475280">
          <w:marLeft w:val="0"/>
          <w:marRight w:val="0"/>
          <w:marTop w:val="0"/>
          <w:marBottom w:val="0"/>
          <w:divBdr>
            <w:top w:val="none" w:sz="0" w:space="0" w:color="auto"/>
            <w:left w:val="none" w:sz="0" w:space="0" w:color="auto"/>
            <w:bottom w:val="none" w:sz="0" w:space="0" w:color="auto"/>
            <w:right w:val="none" w:sz="0" w:space="0" w:color="auto"/>
          </w:divBdr>
        </w:div>
        <w:div w:id="1628657449">
          <w:marLeft w:val="0"/>
          <w:marRight w:val="0"/>
          <w:marTop w:val="0"/>
          <w:marBottom w:val="0"/>
          <w:divBdr>
            <w:top w:val="none" w:sz="0" w:space="0" w:color="auto"/>
            <w:left w:val="none" w:sz="0" w:space="0" w:color="auto"/>
            <w:bottom w:val="none" w:sz="0" w:space="0" w:color="auto"/>
            <w:right w:val="none" w:sz="0" w:space="0" w:color="auto"/>
          </w:divBdr>
        </w:div>
        <w:div w:id="1768884420">
          <w:marLeft w:val="0"/>
          <w:marRight w:val="0"/>
          <w:marTop w:val="0"/>
          <w:marBottom w:val="0"/>
          <w:divBdr>
            <w:top w:val="none" w:sz="0" w:space="0" w:color="auto"/>
            <w:left w:val="none" w:sz="0" w:space="0" w:color="auto"/>
            <w:bottom w:val="none" w:sz="0" w:space="0" w:color="auto"/>
            <w:right w:val="none" w:sz="0" w:space="0" w:color="auto"/>
          </w:divBdr>
        </w:div>
        <w:div w:id="524363980">
          <w:marLeft w:val="0"/>
          <w:marRight w:val="0"/>
          <w:marTop w:val="0"/>
          <w:marBottom w:val="0"/>
          <w:divBdr>
            <w:top w:val="none" w:sz="0" w:space="0" w:color="auto"/>
            <w:left w:val="none" w:sz="0" w:space="0" w:color="auto"/>
            <w:bottom w:val="none" w:sz="0" w:space="0" w:color="auto"/>
            <w:right w:val="none" w:sz="0" w:space="0" w:color="auto"/>
          </w:divBdr>
        </w:div>
        <w:div w:id="766777762">
          <w:marLeft w:val="0"/>
          <w:marRight w:val="0"/>
          <w:marTop w:val="0"/>
          <w:marBottom w:val="0"/>
          <w:divBdr>
            <w:top w:val="none" w:sz="0" w:space="0" w:color="auto"/>
            <w:left w:val="none" w:sz="0" w:space="0" w:color="auto"/>
            <w:bottom w:val="none" w:sz="0" w:space="0" w:color="auto"/>
            <w:right w:val="none" w:sz="0" w:space="0" w:color="auto"/>
          </w:divBdr>
        </w:div>
        <w:div w:id="1753696605">
          <w:marLeft w:val="0"/>
          <w:marRight w:val="0"/>
          <w:marTop w:val="0"/>
          <w:marBottom w:val="0"/>
          <w:divBdr>
            <w:top w:val="none" w:sz="0" w:space="0" w:color="auto"/>
            <w:left w:val="none" w:sz="0" w:space="0" w:color="auto"/>
            <w:bottom w:val="none" w:sz="0" w:space="0" w:color="auto"/>
            <w:right w:val="none" w:sz="0" w:space="0" w:color="auto"/>
          </w:divBdr>
        </w:div>
        <w:div w:id="318120927">
          <w:marLeft w:val="0"/>
          <w:marRight w:val="0"/>
          <w:marTop w:val="0"/>
          <w:marBottom w:val="0"/>
          <w:divBdr>
            <w:top w:val="none" w:sz="0" w:space="0" w:color="auto"/>
            <w:left w:val="none" w:sz="0" w:space="0" w:color="auto"/>
            <w:bottom w:val="none" w:sz="0" w:space="0" w:color="auto"/>
            <w:right w:val="none" w:sz="0" w:space="0" w:color="auto"/>
          </w:divBdr>
        </w:div>
        <w:div w:id="2127389950">
          <w:marLeft w:val="0"/>
          <w:marRight w:val="0"/>
          <w:marTop w:val="0"/>
          <w:marBottom w:val="0"/>
          <w:divBdr>
            <w:top w:val="none" w:sz="0" w:space="0" w:color="auto"/>
            <w:left w:val="none" w:sz="0" w:space="0" w:color="auto"/>
            <w:bottom w:val="none" w:sz="0" w:space="0" w:color="auto"/>
            <w:right w:val="none" w:sz="0" w:space="0" w:color="auto"/>
          </w:divBdr>
        </w:div>
        <w:div w:id="314916386">
          <w:marLeft w:val="0"/>
          <w:marRight w:val="0"/>
          <w:marTop w:val="0"/>
          <w:marBottom w:val="0"/>
          <w:divBdr>
            <w:top w:val="none" w:sz="0" w:space="0" w:color="auto"/>
            <w:left w:val="none" w:sz="0" w:space="0" w:color="auto"/>
            <w:bottom w:val="none" w:sz="0" w:space="0" w:color="auto"/>
            <w:right w:val="none" w:sz="0" w:space="0" w:color="auto"/>
          </w:divBdr>
        </w:div>
        <w:div w:id="465588509">
          <w:marLeft w:val="0"/>
          <w:marRight w:val="0"/>
          <w:marTop w:val="0"/>
          <w:marBottom w:val="0"/>
          <w:divBdr>
            <w:top w:val="none" w:sz="0" w:space="0" w:color="auto"/>
            <w:left w:val="none" w:sz="0" w:space="0" w:color="auto"/>
            <w:bottom w:val="none" w:sz="0" w:space="0" w:color="auto"/>
            <w:right w:val="none" w:sz="0" w:space="0" w:color="auto"/>
          </w:divBdr>
        </w:div>
        <w:div w:id="1660688612">
          <w:marLeft w:val="0"/>
          <w:marRight w:val="0"/>
          <w:marTop w:val="0"/>
          <w:marBottom w:val="0"/>
          <w:divBdr>
            <w:top w:val="none" w:sz="0" w:space="0" w:color="auto"/>
            <w:left w:val="none" w:sz="0" w:space="0" w:color="auto"/>
            <w:bottom w:val="none" w:sz="0" w:space="0" w:color="auto"/>
            <w:right w:val="none" w:sz="0" w:space="0" w:color="auto"/>
          </w:divBdr>
        </w:div>
        <w:div w:id="91123972">
          <w:marLeft w:val="0"/>
          <w:marRight w:val="0"/>
          <w:marTop w:val="0"/>
          <w:marBottom w:val="0"/>
          <w:divBdr>
            <w:top w:val="none" w:sz="0" w:space="0" w:color="auto"/>
            <w:left w:val="none" w:sz="0" w:space="0" w:color="auto"/>
            <w:bottom w:val="none" w:sz="0" w:space="0" w:color="auto"/>
            <w:right w:val="none" w:sz="0" w:space="0" w:color="auto"/>
          </w:divBdr>
        </w:div>
        <w:div w:id="1062558025">
          <w:marLeft w:val="0"/>
          <w:marRight w:val="0"/>
          <w:marTop w:val="0"/>
          <w:marBottom w:val="0"/>
          <w:divBdr>
            <w:top w:val="none" w:sz="0" w:space="0" w:color="auto"/>
            <w:left w:val="none" w:sz="0" w:space="0" w:color="auto"/>
            <w:bottom w:val="none" w:sz="0" w:space="0" w:color="auto"/>
            <w:right w:val="none" w:sz="0" w:space="0" w:color="auto"/>
          </w:divBdr>
        </w:div>
        <w:div w:id="1123108948">
          <w:marLeft w:val="0"/>
          <w:marRight w:val="0"/>
          <w:marTop w:val="0"/>
          <w:marBottom w:val="0"/>
          <w:divBdr>
            <w:top w:val="none" w:sz="0" w:space="0" w:color="auto"/>
            <w:left w:val="none" w:sz="0" w:space="0" w:color="auto"/>
            <w:bottom w:val="none" w:sz="0" w:space="0" w:color="auto"/>
            <w:right w:val="none" w:sz="0" w:space="0" w:color="auto"/>
          </w:divBdr>
        </w:div>
      </w:divsChild>
    </w:div>
    <w:div w:id="1847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idehousing.co.uk/news/salford-leaseholders-face-cladding-bills-after-government-withdraws-promise-of-funding-due-to-error-7284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remediation-of-non-acm-building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pga/2008/17/section/6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18094/Building_Safety_Data_Release_August_2021.pdf" TargetMode="External"/><Relationship Id="rId5" Type="http://schemas.openxmlformats.org/officeDocument/2006/relationships/numbering" Target="numbering.xml"/><Relationship Id="rId15" Type="http://schemas.openxmlformats.org/officeDocument/2006/relationships/hyperlink" Target="https://www.local.gov.uk/parliament/briefings-and-responses/lga-submission-hm-treasury-consultation-residential-proper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idehousing.co.uk/news/news/building-manager-withdraws-huge-cladding-bills-after-remeasuring-block-711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0E525B1E79DC4596AF6F34DE25E1EDDD"/>
        <w:category>
          <w:name w:val="General"/>
          <w:gallery w:val="placeholder"/>
        </w:category>
        <w:types>
          <w:type w:val="bbPlcHdr"/>
        </w:types>
        <w:behaviors>
          <w:behavior w:val="content"/>
        </w:behaviors>
        <w:guid w:val="{895BF8DA-37AE-419F-B0DF-4645C903A817}"/>
      </w:docPartPr>
      <w:docPartBody>
        <w:p w:rsidR="00000000" w:rsidRDefault="00324565" w:rsidP="00324565">
          <w:pPr>
            <w:pStyle w:val="0E525B1E79DC4596AF6F34DE25E1EDDD"/>
          </w:pPr>
          <w:r>
            <w:rPr>
              <w:rStyle w:val="PlaceholderText"/>
            </w:rPr>
            <w:t>Click here to enter text.</w:t>
          </w:r>
        </w:p>
      </w:docPartBody>
    </w:docPart>
    <w:docPart>
      <w:docPartPr>
        <w:name w:val="57F2919514A54B2AAC8B0CA843277ECC"/>
        <w:category>
          <w:name w:val="General"/>
          <w:gallery w:val="placeholder"/>
        </w:category>
        <w:types>
          <w:type w:val="bbPlcHdr"/>
        </w:types>
        <w:behaviors>
          <w:behavior w:val="content"/>
        </w:behaviors>
        <w:guid w:val="{0FCB43B2-5227-4B6F-B521-0B521DA28CE8}"/>
      </w:docPartPr>
      <w:docPartBody>
        <w:p w:rsidR="00000000" w:rsidRDefault="00324565" w:rsidP="00324565">
          <w:pPr>
            <w:pStyle w:val="57F2919514A54B2AAC8B0CA843277EC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215B60"/>
    <w:rsid w:val="00324565"/>
    <w:rsid w:val="00342356"/>
    <w:rsid w:val="003509D9"/>
    <w:rsid w:val="00382608"/>
    <w:rsid w:val="004072AC"/>
    <w:rsid w:val="00476CE2"/>
    <w:rsid w:val="00570CA2"/>
    <w:rsid w:val="00576FB3"/>
    <w:rsid w:val="006C5901"/>
    <w:rsid w:val="007B2BCC"/>
    <w:rsid w:val="007F5996"/>
    <w:rsid w:val="00976D0D"/>
    <w:rsid w:val="00A51F1F"/>
    <w:rsid w:val="00AA5CFC"/>
    <w:rsid w:val="00B52EE2"/>
    <w:rsid w:val="00B9136C"/>
    <w:rsid w:val="00B94A18"/>
    <w:rsid w:val="00C639E0"/>
    <w:rsid w:val="00D65608"/>
    <w:rsid w:val="00DC14F3"/>
    <w:rsid w:val="00E2407E"/>
    <w:rsid w:val="00EE5478"/>
    <w:rsid w:val="00F03051"/>
    <w:rsid w:val="00F4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565"/>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0E525B1E79DC4596AF6F34DE25E1EDDD">
    <w:name w:val="0E525B1E79DC4596AF6F34DE25E1EDDD"/>
    <w:rsid w:val="00324565"/>
  </w:style>
  <w:style w:type="paragraph" w:customStyle="1" w:styleId="57F2919514A54B2AAC8B0CA843277ECC">
    <w:name w:val="57F2919514A54B2AAC8B0CA843277ECC"/>
    <w:rsid w:val="00324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F64E8E3F-A9CD-4EB8-A3B5-883267B2A901}">
  <ds:schemaRefs>
    <ds:schemaRef ds:uri="http://schemas.openxmlformats.org/officeDocument/2006/bibliography"/>
  </ds:schemaRefs>
</ds:datastoreItem>
</file>

<file path=customXml/itemProps4.xml><?xml version="1.0" encoding="utf-8"?>
<ds:datastoreItem xmlns:ds="http://schemas.openxmlformats.org/officeDocument/2006/customXml" ds:itemID="{7B16B6A2-DF8C-4783-9234-161269007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Fatima De Abreu</cp:lastModifiedBy>
  <cp:revision>5</cp:revision>
  <dcterms:created xsi:type="dcterms:W3CDTF">2021-11-08T14:54:00Z</dcterms:created>
  <dcterms:modified xsi:type="dcterms:W3CDTF">2021-11-08T15:42:00Z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